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C2A4E" w14:textId="77777777" w:rsidR="000F6BC2" w:rsidRDefault="00016BF4" w:rsidP="00377573">
      <w:pPr>
        <w:spacing w:after="0" w:line="360" w:lineRule="auto"/>
        <w:jc w:val="center"/>
        <w:rPr>
          <w:b/>
        </w:rPr>
      </w:pPr>
      <w:r>
        <w:rPr>
          <w:b/>
        </w:rPr>
        <w:t xml:space="preserve">CARTA ANUAL </w:t>
      </w:r>
      <w:r w:rsidRPr="00016BF4">
        <w:rPr>
          <w:b/>
        </w:rPr>
        <w:t xml:space="preserve">DE </w:t>
      </w:r>
      <w:r w:rsidR="00210FE0">
        <w:rPr>
          <w:b/>
        </w:rPr>
        <w:t xml:space="preserve">POLÍTICAS PÚBLICAS E </w:t>
      </w:r>
      <w:r w:rsidRPr="00016BF4">
        <w:rPr>
          <w:b/>
        </w:rPr>
        <w:t>GOVERNANÇA</w:t>
      </w:r>
      <w:r>
        <w:rPr>
          <w:b/>
        </w:rPr>
        <w:t xml:space="preserve"> CORPORATIVA</w:t>
      </w:r>
      <w:r w:rsidR="008C222A">
        <w:rPr>
          <w:b/>
        </w:rPr>
        <w:t xml:space="preserve"> </w:t>
      </w:r>
      <w:r>
        <w:rPr>
          <w:b/>
        </w:rPr>
        <w:t xml:space="preserve">DA COMPANHIA </w:t>
      </w:r>
      <w:r w:rsidR="00EC79BA">
        <w:rPr>
          <w:b/>
        </w:rPr>
        <w:t>SÃO PAULO DE DESENVOLVIMENTO E MOBILIZAÇÃO DE ATIVOS</w:t>
      </w:r>
      <w:r w:rsidR="00AD4A6B">
        <w:rPr>
          <w:b/>
        </w:rPr>
        <w:t xml:space="preserve"> – SP</w:t>
      </w:r>
      <w:r w:rsidR="00EC79BA">
        <w:rPr>
          <w:b/>
        </w:rPr>
        <w:t>DA</w:t>
      </w:r>
    </w:p>
    <w:p w14:paraId="6D0FE8F3" w14:textId="77777777" w:rsidR="00016BF4" w:rsidRDefault="00016BF4" w:rsidP="00377573">
      <w:pPr>
        <w:spacing w:after="0" w:line="360" w:lineRule="auto"/>
        <w:jc w:val="both"/>
      </w:pPr>
    </w:p>
    <w:p w14:paraId="1668915D" w14:textId="75B3E23D" w:rsidR="00AD4A6B" w:rsidRDefault="00016BF4" w:rsidP="00377573">
      <w:pPr>
        <w:pStyle w:val="PargrafodaLista"/>
        <w:autoSpaceDE w:val="0"/>
        <w:autoSpaceDN w:val="0"/>
        <w:adjustRightInd w:val="0"/>
        <w:spacing w:line="360" w:lineRule="auto"/>
        <w:ind w:left="0"/>
        <w:contextualSpacing w:val="0"/>
        <w:rPr>
          <w:rFonts w:asciiTheme="minorHAnsi" w:hAnsiTheme="minorHAnsi"/>
          <w:sz w:val="22"/>
          <w:szCs w:val="22"/>
        </w:rPr>
      </w:pPr>
      <w:r w:rsidRPr="00C435CE">
        <w:rPr>
          <w:rFonts w:asciiTheme="minorHAnsi" w:hAnsiTheme="minorHAnsi"/>
          <w:sz w:val="22"/>
          <w:szCs w:val="22"/>
        </w:rPr>
        <w:t xml:space="preserve">A presente </w:t>
      </w:r>
      <w:r w:rsidR="00AF6144">
        <w:rPr>
          <w:rFonts w:asciiTheme="minorHAnsi" w:hAnsiTheme="minorHAnsi"/>
          <w:sz w:val="22"/>
          <w:szCs w:val="22"/>
        </w:rPr>
        <w:t>Carta Anual de Políticas Públicas e Governança Corporativa</w:t>
      </w:r>
      <w:r>
        <w:rPr>
          <w:rFonts w:asciiTheme="minorHAnsi" w:hAnsiTheme="minorHAnsi"/>
          <w:sz w:val="22"/>
          <w:szCs w:val="22"/>
        </w:rPr>
        <w:t xml:space="preserve">, </w:t>
      </w:r>
      <w:r w:rsidR="00EB3D52">
        <w:rPr>
          <w:rFonts w:asciiTheme="minorHAnsi" w:hAnsiTheme="minorHAnsi"/>
          <w:sz w:val="22"/>
          <w:szCs w:val="22"/>
        </w:rPr>
        <w:t xml:space="preserve">elaborada </w:t>
      </w:r>
      <w:r w:rsidR="00400D65">
        <w:rPr>
          <w:rFonts w:asciiTheme="minorHAnsi" w:hAnsiTheme="minorHAnsi"/>
          <w:sz w:val="22"/>
          <w:szCs w:val="22"/>
        </w:rPr>
        <w:t>em atendimento ao art. 8º, incisos</w:t>
      </w:r>
      <w:r w:rsidR="002C7FA1">
        <w:rPr>
          <w:rFonts w:asciiTheme="minorHAnsi" w:hAnsiTheme="minorHAnsi"/>
          <w:sz w:val="22"/>
          <w:szCs w:val="22"/>
        </w:rPr>
        <w:t xml:space="preserve"> I,</w:t>
      </w:r>
      <w:r w:rsidR="00400D65">
        <w:rPr>
          <w:rFonts w:asciiTheme="minorHAnsi" w:hAnsiTheme="minorHAnsi"/>
          <w:sz w:val="22"/>
          <w:szCs w:val="22"/>
        </w:rPr>
        <w:t xml:space="preserve"> III e VIII da Lei nº 13.303, de </w:t>
      </w:r>
      <w:r w:rsidR="00E44A80">
        <w:rPr>
          <w:rFonts w:asciiTheme="minorHAnsi" w:hAnsiTheme="minorHAnsi"/>
          <w:sz w:val="22"/>
          <w:szCs w:val="22"/>
        </w:rPr>
        <w:t xml:space="preserve">2016 e </w:t>
      </w:r>
      <w:r w:rsidR="00EB3D52">
        <w:rPr>
          <w:rFonts w:asciiTheme="minorHAnsi" w:hAnsiTheme="minorHAnsi"/>
          <w:sz w:val="22"/>
          <w:szCs w:val="22"/>
        </w:rPr>
        <w:t>a</w:t>
      </w:r>
      <w:r w:rsidR="00E44A80">
        <w:rPr>
          <w:rFonts w:asciiTheme="minorHAnsi" w:hAnsiTheme="minorHAnsi"/>
          <w:sz w:val="22"/>
          <w:szCs w:val="22"/>
        </w:rPr>
        <w:t xml:space="preserve">o Decreto Municipal nº 57.566, de 2017, </w:t>
      </w:r>
      <w:r w:rsidR="00AD4A6B">
        <w:rPr>
          <w:rFonts w:asciiTheme="minorHAnsi" w:hAnsiTheme="minorHAnsi"/>
          <w:sz w:val="22"/>
          <w:szCs w:val="22"/>
        </w:rPr>
        <w:t xml:space="preserve">consolida as informações relevantes relativas </w:t>
      </w:r>
      <w:r w:rsidR="00400D65">
        <w:rPr>
          <w:rFonts w:asciiTheme="minorHAnsi" w:hAnsiTheme="minorHAnsi"/>
          <w:sz w:val="22"/>
          <w:szCs w:val="22"/>
        </w:rPr>
        <w:t xml:space="preserve">a </w:t>
      </w:r>
      <w:r w:rsidR="00210FE0">
        <w:rPr>
          <w:rFonts w:asciiTheme="minorHAnsi" w:hAnsiTheme="minorHAnsi"/>
          <w:sz w:val="22"/>
          <w:szCs w:val="22"/>
        </w:rPr>
        <w:t xml:space="preserve">políticas públicas, </w:t>
      </w:r>
      <w:r w:rsidR="00400D65">
        <w:rPr>
          <w:rFonts w:asciiTheme="minorHAnsi" w:hAnsiTheme="minorHAnsi"/>
          <w:sz w:val="22"/>
          <w:szCs w:val="22"/>
        </w:rPr>
        <w:t>atividades desenvolvidas, estrutura de controle, fatores de risco, dados econômico-financeiros, comentários dos administradores sobre o desempenho, políticas e práticas de governança corporativa e composição da remuneração da administração</w:t>
      </w:r>
      <w:r w:rsidR="00AF6144">
        <w:rPr>
          <w:rFonts w:asciiTheme="minorHAnsi" w:hAnsiTheme="minorHAnsi"/>
          <w:sz w:val="22"/>
          <w:szCs w:val="22"/>
        </w:rPr>
        <w:t xml:space="preserve"> é subscrita pelo Conselho de Administração e é referente ao exercício social de 201</w:t>
      </w:r>
      <w:r w:rsidR="00CC7B24">
        <w:rPr>
          <w:rFonts w:asciiTheme="minorHAnsi" w:hAnsiTheme="minorHAnsi"/>
          <w:sz w:val="22"/>
          <w:szCs w:val="22"/>
        </w:rPr>
        <w:t>9</w:t>
      </w:r>
      <w:r w:rsidR="00EB3D52">
        <w:rPr>
          <w:rFonts w:asciiTheme="minorHAnsi" w:hAnsiTheme="minorHAnsi"/>
          <w:sz w:val="22"/>
          <w:szCs w:val="22"/>
        </w:rPr>
        <w:t>.</w:t>
      </w:r>
    </w:p>
    <w:p w14:paraId="449D6398" w14:textId="77777777" w:rsidR="00AD4A6B" w:rsidRDefault="00AD4A6B" w:rsidP="00377573">
      <w:pPr>
        <w:pStyle w:val="PargrafodaLista"/>
        <w:autoSpaceDE w:val="0"/>
        <w:autoSpaceDN w:val="0"/>
        <w:adjustRightInd w:val="0"/>
        <w:spacing w:line="360" w:lineRule="auto"/>
        <w:ind w:left="0"/>
        <w:contextualSpacing w:val="0"/>
        <w:rPr>
          <w:rFonts w:asciiTheme="minorHAnsi" w:hAnsiTheme="minorHAnsi"/>
          <w:sz w:val="22"/>
          <w:szCs w:val="22"/>
        </w:rPr>
      </w:pPr>
    </w:p>
    <w:p w14:paraId="2D8DC046" w14:textId="77777777" w:rsidR="00AF6144" w:rsidRPr="00CD6AF8" w:rsidRDefault="00CD6AF8" w:rsidP="00377573">
      <w:pPr>
        <w:pStyle w:val="PargrafodaLista"/>
        <w:autoSpaceDE w:val="0"/>
        <w:autoSpaceDN w:val="0"/>
        <w:adjustRightInd w:val="0"/>
        <w:spacing w:line="360" w:lineRule="auto"/>
        <w:ind w:left="0"/>
        <w:contextualSpacing w:val="0"/>
        <w:jc w:val="center"/>
        <w:rPr>
          <w:rFonts w:asciiTheme="minorHAnsi" w:hAnsiTheme="minorHAnsi"/>
          <w:b/>
          <w:sz w:val="22"/>
          <w:szCs w:val="22"/>
        </w:rPr>
      </w:pPr>
      <w:r w:rsidRPr="00CD6AF8">
        <w:rPr>
          <w:rFonts w:asciiTheme="minorHAnsi" w:hAnsiTheme="minorHAnsi"/>
          <w:b/>
          <w:sz w:val="22"/>
          <w:szCs w:val="22"/>
        </w:rPr>
        <w:t>IDENTIFICAÇÃO GERAL</w:t>
      </w:r>
    </w:p>
    <w:p w14:paraId="3215F939" w14:textId="77777777" w:rsidR="00CD6AF8" w:rsidRDefault="00CD6AF8" w:rsidP="00377573">
      <w:pPr>
        <w:pStyle w:val="PargrafodaLista"/>
        <w:autoSpaceDE w:val="0"/>
        <w:autoSpaceDN w:val="0"/>
        <w:adjustRightInd w:val="0"/>
        <w:spacing w:line="360" w:lineRule="auto"/>
        <w:ind w:left="0"/>
        <w:contextualSpacing w:val="0"/>
        <w:jc w:val="center"/>
        <w:rPr>
          <w:rFonts w:asciiTheme="minorHAnsi" w:hAnsiTheme="minorHAnsi"/>
          <w:sz w:val="22"/>
          <w:szCs w:val="22"/>
        </w:rPr>
      </w:pPr>
      <w:r>
        <w:rPr>
          <w:rFonts w:asciiTheme="minorHAnsi" w:hAnsiTheme="minorHAnsi"/>
          <w:sz w:val="22"/>
          <w:szCs w:val="22"/>
        </w:rPr>
        <w:t>___________________________________________________________________________</w:t>
      </w:r>
    </w:p>
    <w:p w14:paraId="1006D79A" w14:textId="77777777" w:rsidR="00AF6144" w:rsidRDefault="00AF6144" w:rsidP="00377573">
      <w:pPr>
        <w:pStyle w:val="PargrafodaLista"/>
        <w:autoSpaceDE w:val="0"/>
        <w:autoSpaceDN w:val="0"/>
        <w:adjustRightInd w:val="0"/>
        <w:spacing w:line="360" w:lineRule="auto"/>
        <w:ind w:left="0"/>
        <w:contextualSpacing w:val="0"/>
        <w:rPr>
          <w:rFonts w:asciiTheme="minorHAnsi" w:hAnsiTheme="minorHAnsi"/>
          <w:sz w:val="22"/>
          <w:szCs w:val="22"/>
        </w:rPr>
      </w:pPr>
    </w:p>
    <w:p w14:paraId="7189E4E4" w14:textId="77777777" w:rsidR="00CD6AF8" w:rsidRPr="00CD6AF8" w:rsidRDefault="00CD6AF8" w:rsidP="00377573">
      <w:pPr>
        <w:pStyle w:val="PargrafodaLista"/>
        <w:autoSpaceDE w:val="0"/>
        <w:autoSpaceDN w:val="0"/>
        <w:adjustRightInd w:val="0"/>
        <w:spacing w:line="360" w:lineRule="auto"/>
        <w:ind w:left="0"/>
        <w:contextualSpacing w:val="0"/>
        <w:rPr>
          <w:rFonts w:asciiTheme="minorHAnsi" w:hAnsiTheme="minorHAnsi"/>
          <w:sz w:val="22"/>
          <w:szCs w:val="22"/>
        </w:rPr>
      </w:pPr>
      <w:r w:rsidRPr="00CD6AF8">
        <w:rPr>
          <w:rFonts w:asciiTheme="minorHAnsi" w:hAnsiTheme="minorHAnsi"/>
          <w:sz w:val="22"/>
          <w:szCs w:val="22"/>
        </w:rPr>
        <w:t>CNPJ</w:t>
      </w:r>
      <w:r>
        <w:rPr>
          <w:rFonts w:asciiTheme="minorHAnsi" w:hAnsiTheme="minorHAnsi"/>
          <w:sz w:val="22"/>
          <w:szCs w:val="22"/>
        </w:rPr>
        <w:t>:</w:t>
      </w:r>
      <w:r w:rsidRPr="00CD6AF8">
        <w:rPr>
          <w:rFonts w:asciiTheme="minorHAnsi" w:hAnsiTheme="minorHAnsi"/>
          <w:sz w:val="22"/>
          <w:szCs w:val="22"/>
        </w:rPr>
        <w:t xml:space="preserve"> 11.697.171/0001-38. NIRE</w:t>
      </w:r>
      <w:r>
        <w:rPr>
          <w:rFonts w:asciiTheme="minorHAnsi" w:hAnsiTheme="minorHAnsi"/>
          <w:sz w:val="22"/>
          <w:szCs w:val="22"/>
        </w:rPr>
        <w:t>:</w:t>
      </w:r>
      <w:r w:rsidRPr="00CD6AF8">
        <w:rPr>
          <w:rFonts w:asciiTheme="minorHAnsi" w:hAnsiTheme="minorHAnsi"/>
          <w:sz w:val="22"/>
          <w:szCs w:val="22"/>
        </w:rPr>
        <w:t xml:space="preserve"> 35300377303</w:t>
      </w:r>
    </w:p>
    <w:p w14:paraId="521EF6A3" w14:textId="77777777" w:rsidR="00CD6AF8" w:rsidRPr="00CD6AF8" w:rsidRDefault="00CD6AF8" w:rsidP="00377573">
      <w:pPr>
        <w:pStyle w:val="PargrafodaLista"/>
        <w:autoSpaceDE w:val="0"/>
        <w:autoSpaceDN w:val="0"/>
        <w:adjustRightInd w:val="0"/>
        <w:spacing w:line="360" w:lineRule="auto"/>
        <w:ind w:left="0"/>
        <w:contextualSpacing w:val="0"/>
        <w:rPr>
          <w:rFonts w:asciiTheme="minorHAnsi" w:hAnsiTheme="minorHAnsi"/>
          <w:sz w:val="22"/>
          <w:szCs w:val="22"/>
        </w:rPr>
      </w:pPr>
      <w:r w:rsidRPr="00CD6AF8">
        <w:rPr>
          <w:rFonts w:asciiTheme="minorHAnsi" w:hAnsiTheme="minorHAnsi"/>
          <w:sz w:val="22"/>
          <w:szCs w:val="22"/>
        </w:rPr>
        <w:t xml:space="preserve">Sede: </w:t>
      </w:r>
      <w:r>
        <w:rPr>
          <w:rFonts w:asciiTheme="minorHAnsi" w:hAnsiTheme="minorHAnsi"/>
          <w:sz w:val="22"/>
          <w:szCs w:val="22"/>
        </w:rPr>
        <w:t>São Paulo / SP</w:t>
      </w:r>
    </w:p>
    <w:p w14:paraId="08E8B624" w14:textId="77777777" w:rsidR="00CD6AF8" w:rsidRPr="00CD6AF8" w:rsidRDefault="00CD6AF8" w:rsidP="00377573">
      <w:pPr>
        <w:pStyle w:val="PargrafodaLista"/>
        <w:autoSpaceDE w:val="0"/>
        <w:autoSpaceDN w:val="0"/>
        <w:adjustRightInd w:val="0"/>
        <w:spacing w:line="360" w:lineRule="auto"/>
        <w:ind w:left="0"/>
        <w:contextualSpacing w:val="0"/>
        <w:rPr>
          <w:rFonts w:asciiTheme="minorHAnsi" w:hAnsiTheme="minorHAnsi"/>
          <w:sz w:val="22"/>
          <w:szCs w:val="22"/>
        </w:rPr>
      </w:pPr>
      <w:r w:rsidRPr="00CD6AF8">
        <w:rPr>
          <w:rFonts w:asciiTheme="minorHAnsi" w:hAnsiTheme="minorHAnsi"/>
          <w:sz w:val="22"/>
          <w:szCs w:val="22"/>
        </w:rPr>
        <w:t xml:space="preserve">Tipo de </w:t>
      </w:r>
      <w:r w:rsidR="004B40D5">
        <w:rPr>
          <w:rFonts w:asciiTheme="minorHAnsi" w:hAnsiTheme="minorHAnsi"/>
          <w:sz w:val="22"/>
          <w:szCs w:val="22"/>
        </w:rPr>
        <w:t>E</w:t>
      </w:r>
      <w:r w:rsidRPr="00CD6AF8">
        <w:rPr>
          <w:rFonts w:asciiTheme="minorHAnsi" w:hAnsiTheme="minorHAnsi"/>
          <w:sz w:val="22"/>
          <w:szCs w:val="22"/>
        </w:rPr>
        <w:t xml:space="preserve">statal: </w:t>
      </w:r>
      <w:r w:rsidR="004B40D5">
        <w:rPr>
          <w:rFonts w:asciiTheme="minorHAnsi" w:hAnsiTheme="minorHAnsi"/>
          <w:sz w:val="22"/>
          <w:szCs w:val="22"/>
        </w:rPr>
        <w:t>S</w:t>
      </w:r>
      <w:r w:rsidRPr="00CD6AF8">
        <w:rPr>
          <w:rFonts w:asciiTheme="minorHAnsi" w:hAnsiTheme="minorHAnsi"/>
          <w:sz w:val="22"/>
          <w:szCs w:val="22"/>
        </w:rPr>
        <w:t xml:space="preserve">ociedade de </w:t>
      </w:r>
      <w:r w:rsidR="004B40D5">
        <w:rPr>
          <w:rFonts w:asciiTheme="minorHAnsi" w:hAnsiTheme="minorHAnsi"/>
          <w:sz w:val="22"/>
          <w:szCs w:val="22"/>
        </w:rPr>
        <w:t>E</w:t>
      </w:r>
      <w:r w:rsidRPr="00CD6AF8">
        <w:rPr>
          <w:rFonts w:asciiTheme="minorHAnsi" w:hAnsiTheme="minorHAnsi"/>
          <w:sz w:val="22"/>
          <w:szCs w:val="22"/>
        </w:rPr>
        <w:t xml:space="preserve">conomia </w:t>
      </w:r>
      <w:r w:rsidR="004B40D5">
        <w:rPr>
          <w:rFonts w:asciiTheme="minorHAnsi" w:hAnsiTheme="minorHAnsi"/>
          <w:sz w:val="22"/>
          <w:szCs w:val="22"/>
        </w:rPr>
        <w:t>M</w:t>
      </w:r>
      <w:r w:rsidRPr="00CD6AF8">
        <w:rPr>
          <w:rFonts w:asciiTheme="minorHAnsi" w:hAnsiTheme="minorHAnsi"/>
          <w:sz w:val="22"/>
          <w:szCs w:val="22"/>
        </w:rPr>
        <w:t>ista</w:t>
      </w:r>
    </w:p>
    <w:p w14:paraId="62A03E45" w14:textId="77777777" w:rsidR="00CD6AF8" w:rsidRPr="00CD6AF8" w:rsidRDefault="00CD6AF8" w:rsidP="00377573">
      <w:pPr>
        <w:pStyle w:val="PargrafodaLista"/>
        <w:autoSpaceDE w:val="0"/>
        <w:autoSpaceDN w:val="0"/>
        <w:adjustRightInd w:val="0"/>
        <w:spacing w:line="360" w:lineRule="auto"/>
        <w:ind w:left="0"/>
        <w:contextualSpacing w:val="0"/>
        <w:rPr>
          <w:rFonts w:asciiTheme="minorHAnsi" w:hAnsiTheme="minorHAnsi"/>
          <w:sz w:val="22"/>
          <w:szCs w:val="22"/>
        </w:rPr>
      </w:pPr>
      <w:r w:rsidRPr="00CD6AF8">
        <w:rPr>
          <w:rFonts w:asciiTheme="minorHAnsi" w:hAnsiTheme="minorHAnsi"/>
          <w:sz w:val="22"/>
          <w:szCs w:val="22"/>
        </w:rPr>
        <w:t xml:space="preserve">Acionista </w:t>
      </w:r>
      <w:r w:rsidR="004B40D5">
        <w:rPr>
          <w:rFonts w:asciiTheme="minorHAnsi" w:hAnsiTheme="minorHAnsi"/>
          <w:sz w:val="22"/>
          <w:szCs w:val="22"/>
        </w:rPr>
        <w:t>C</w:t>
      </w:r>
      <w:r w:rsidRPr="00CD6AF8">
        <w:rPr>
          <w:rFonts w:asciiTheme="minorHAnsi" w:hAnsiTheme="minorHAnsi"/>
          <w:sz w:val="22"/>
          <w:szCs w:val="22"/>
        </w:rPr>
        <w:t xml:space="preserve">ontrolador: </w:t>
      </w:r>
      <w:r>
        <w:rPr>
          <w:rFonts w:asciiTheme="minorHAnsi" w:hAnsiTheme="minorHAnsi"/>
          <w:sz w:val="22"/>
          <w:szCs w:val="22"/>
        </w:rPr>
        <w:t>Município de São Paulo</w:t>
      </w:r>
    </w:p>
    <w:p w14:paraId="3881C9F0" w14:textId="77777777" w:rsidR="00CD6AF8" w:rsidRPr="00CD6AF8" w:rsidRDefault="00CD6AF8" w:rsidP="00377573">
      <w:pPr>
        <w:pStyle w:val="PargrafodaLista"/>
        <w:autoSpaceDE w:val="0"/>
        <w:autoSpaceDN w:val="0"/>
        <w:adjustRightInd w:val="0"/>
        <w:spacing w:line="360" w:lineRule="auto"/>
        <w:ind w:left="0"/>
        <w:contextualSpacing w:val="0"/>
        <w:rPr>
          <w:rFonts w:asciiTheme="minorHAnsi" w:hAnsiTheme="minorHAnsi"/>
          <w:sz w:val="22"/>
          <w:szCs w:val="22"/>
        </w:rPr>
      </w:pPr>
      <w:r w:rsidRPr="00CD6AF8">
        <w:rPr>
          <w:rFonts w:asciiTheme="minorHAnsi" w:hAnsiTheme="minorHAnsi"/>
          <w:sz w:val="22"/>
          <w:szCs w:val="22"/>
        </w:rPr>
        <w:t xml:space="preserve">Tipo </w:t>
      </w:r>
      <w:r w:rsidR="004B40D5">
        <w:rPr>
          <w:rFonts w:asciiTheme="minorHAnsi" w:hAnsiTheme="minorHAnsi"/>
          <w:sz w:val="22"/>
          <w:szCs w:val="22"/>
        </w:rPr>
        <w:t>S</w:t>
      </w:r>
      <w:r w:rsidRPr="00CD6AF8">
        <w:rPr>
          <w:rFonts w:asciiTheme="minorHAnsi" w:hAnsiTheme="minorHAnsi"/>
          <w:sz w:val="22"/>
          <w:szCs w:val="22"/>
        </w:rPr>
        <w:t xml:space="preserve">ocietário: </w:t>
      </w:r>
      <w:r w:rsidR="004B40D5">
        <w:rPr>
          <w:rFonts w:asciiTheme="minorHAnsi" w:hAnsiTheme="minorHAnsi"/>
          <w:sz w:val="22"/>
          <w:szCs w:val="22"/>
        </w:rPr>
        <w:t>S</w:t>
      </w:r>
      <w:r w:rsidRPr="00CD6AF8">
        <w:rPr>
          <w:rFonts w:asciiTheme="minorHAnsi" w:hAnsiTheme="minorHAnsi"/>
          <w:sz w:val="22"/>
          <w:szCs w:val="22"/>
        </w:rPr>
        <w:t xml:space="preserve">ociedade </w:t>
      </w:r>
      <w:r w:rsidR="004B40D5">
        <w:rPr>
          <w:rFonts w:asciiTheme="minorHAnsi" w:hAnsiTheme="minorHAnsi"/>
          <w:sz w:val="22"/>
          <w:szCs w:val="22"/>
        </w:rPr>
        <w:t>A</w:t>
      </w:r>
      <w:r w:rsidRPr="00CD6AF8">
        <w:rPr>
          <w:rFonts w:asciiTheme="minorHAnsi" w:hAnsiTheme="minorHAnsi"/>
          <w:sz w:val="22"/>
          <w:szCs w:val="22"/>
        </w:rPr>
        <w:t>nônima</w:t>
      </w:r>
    </w:p>
    <w:p w14:paraId="662CD31A" w14:textId="77777777" w:rsidR="00CD6AF8" w:rsidRPr="00CD6AF8" w:rsidRDefault="00CD6AF8" w:rsidP="00377573">
      <w:pPr>
        <w:pStyle w:val="PargrafodaLista"/>
        <w:autoSpaceDE w:val="0"/>
        <w:autoSpaceDN w:val="0"/>
        <w:adjustRightInd w:val="0"/>
        <w:spacing w:line="360" w:lineRule="auto"/>
        <w:ind w:left="0"/>
        <w:contextualSpacing w:val="0"/>
        <w:rPr>
          <w:rFonts w:asciiTheme="minorHAnsi" w:hAnsiTheme="minorHAnsi"/>
          <w:sz w:val="22"/>
          <w:szCs w:val="22"/>
        </w:rPr>
      </w:pPr>
      <w:r w:rsidRPr="00CD6AF8">
        <w:rPr>
          <w:rFonts w:asciiTheme="minorHAnsi" w:hAnsiTheme="minorHAnsi"/>
          <w:sz w:val="22"/>
          <w:szCs w:val="22"/>
        </w:rPr>
        <w:t xml:space="preserve">Tipo de </w:t>
      </w:r>
      <w:r w:rsidR="004B40D5">
        <w:rPr>
          <w:rFonts w:asciiTheme="minorHAnsi" w:hAnsiTheme="minorHAnsi"/>
          <w:sz w:val="22"/>
          <w:szCs w:val="22"/>
        </w:rPr>
        <w:t>C</w:t>
      </w:r>
      <w:r w:rsidRPr="00CD6AF8">
        <w:rPr>
          <w:rFonts w:asciiTheme="minorHAnsi" w:hAnsiTheme="minorHAnsi"/>
          <w:sz w:val="22"/>
          <w:szCs w:val="22"/>
        </w:rPr>
        <w:t xml:space="preserve">apital: </w:t>
      </w:r>
      <w:r w:rsidR="004B40D5">
        <w:rPr>
          <w:rFonts w:asciiTheme="minorHAnsi" w:hAnsiTheme="minorHAnsi"/>
          <w:sz w:val="22"/>
          <w:szCs w:val="22"/>
        </w:rPr>
        <w:t>F</w:t>
      </w:r>
      <w:r w:rsidRPr="00CD6AF8">
        <w:rPr>
          <w:rFonts w:asciiTheme="minorHAnsi" w:hAnsiTheme="minorHAnsi"/>
          <w:sz w:val="22"/>
          <w:szCs w:val="22"/>
        </w:rPr>
        <w:t>echado</w:t>
      </w:r>
    </w:p>
    <w:p w14:paraId="60AB8142" w14:textId="77777777" w:rsidR="00CD6AF8" w:rsidRPr="00CD6AF8" w:rsidRDefault="00CD6AF8" w:rsidP="00377573">
      <w:pPr>
        <w:pStyle w:val="PargrafodaLista"/>
        <w:autoSpaceDE w:val="0"/>
        <w:autoSpaceDN w:val="0"/>
        <w:adjustRightInd w:val="0"/>
        <w:spacing w:line="360" w:lineRule="auto"/>
        <w:ind w:left="0"/>
        <w:contextualSpacing w:val="0"/>
        <w:rPr>
          <w:rFonts w:asciiTheme="minorHAnsi" w:hAnsiTheme="minorHAnsi"/>
          <w:sz w:val="22"/>
          <w:szCs w:val="22"/>
        </w:rPr>
      </w:pPr>
      <w:r w:rsidRPr="00CD6AF8">
        <w:rPr>
          <w:rFonts w:asciiTheme="minorHAnsi" w:hAnsiTheme="minorHAnsi"/>
          <w:sz w:val="22"/>
          <w:szCs w:val="22"/>
        </w:rPr>
        <w:t xml:space="preserve">Abrangência de </w:t>
      </w:r>
      <w:r w:rsidR="004B40D5">
        <w:rPr>
          <w:rFonts w:asciiTheme="minorHAnsi" w:hAnsiTheme="minorHAnsi"/>
          <w:sz w:val="22"/>
          <w:szCs w:val="22"/>
        </w:rPr>
        <w:t>A</w:t>
      </w:r>
      <w:r w:rsidRPr="00CD6AF8">
        <w:rPr>
          <w:rFonts w:asciiTheme="minorHAnsi" w:hAnsiTheme="minorHAnsi"/>
          <w:sz w:val="22"/>
          <w:szCs w:val="22"/>
        </w:rPr>
        <w:t xml:space="preserve">tuação: </w:t>
      </w:r>
      <w:r w:rsidR="004B40D5">
        <w:rPr>
          <w:rFonts w:asciiTheme="minorHAnsi" w:hAnsiTheme="minorHAnsi"/>
          <w:sz w:val="22"/>
          <w:szCs w:val="22"/>
        </w:rPr>
        <w:t>L</w:t>
      </w:r>
      <w:r w:rsidRPr="00CD6AF8">
        <w:rPr>
          <w:rFonts w:asciiTheme="minorHAnsi" w:hAnsiTheme="minorHAnsi"/>
          <w:sz w:val="22"/>
          <w:szCs w:val="22"/>
        </w:rPr>
        <w:t>ocal</w:t>
      </w:r>
    </w:p>
    <w:p w14:paraId="2E8AA1A3" w14:textId="77777777" w:rsidR="00CD6AF8" w:rsidRPr="00CD6AF8" w:rsidRDefault="00CD6AF8" w:rsidP="00377573">
      <w:pPr>
        <w:pStyle w:val="PargrafodaLista"/>
        <w:autoSpaceDE w:val="0"/>
        <w:autoSpaceDN w:val="0"/>
        <w:adjustRightInd w:val="0"/>
        <w:spacing w:line="360" w:lineRule="auto"/>
        <w:ind w:left="0"/>
        <w:contextualSpacing w:val="0"/>
        <w:rPr>
          <w:rFonts w:asciiTheme="minorHAnsi" w:hAnsiTheme="minorHAnsi"/>
          <w:sz w:val="22"/>
          <w:szCs w:val="22"/>
        </w:rPr>
      </w:pPr>
      <w:r w:rsidRPr="00CD6AF8">
        <w:rPr>
          <w:rFonts w:asciiTheme="minorHAnsi" w:hAnsiTheme="minorHAnsi"/>
          <w:sz w:val="22"/>
          <w:szCs w:val="22"/>
        </w:rPr>
        <w:t xml:space="preserve">Setor de </w:t>
      </w:r>
      <w:r w:rsidR="004B40D5">
        <w:rPr>
          <w:rFonts w:asciiTheme="minorHAnsi" w:hAnsiTheme="minorHAnsi"/>
          <w:sz w:val="22"/>
          <w:szCs w:val="22"/>
        </w:rPr>
        <w:t>A</w:t>
      </w:r>
      <w:r w:rsidRPr="00CD6AF8">
        <w:rPr>
          <w:rFonts w:asciiTheme="minorHAnsi" w:hAnsiTheme="minorHAnsi"/>
          <w:sz w:val="22"/>
          <w:szCs w:val="22"/>
        </w:rPr>
        <w:t xml:space="preserve">tuação: </w:t>
      </w:r>
      <w:r w:rsidR="004B40D5">
        <w:rPr>
          <w:rFonts w:asciiTheme="minorHAnsi" w:hAnsiTheme="minorHAnsi"/>
          <w:sz w:val="22"/>
          <w:szCs w:val="22"/>
        </w:rPr>
        <w:t>S</w:t>
      </w:r>
      <w:r w:rsidRPr="00CD6AF8">
        <w:rPr>
          <w:rFonts w:asciiTheme="minorHAnsi" w:hAnsiTheme="minorHAnsi"/>
          <w:sz w:val="22"/>
          <w:szCs w:val="22"/>
        </w:rPr>
        <w:t>erviços</w:t>
      </w:r>
    </w:p>
    <w:p w14:paraId="1767A9D5" w14:textId="10FB3C7E" w:rsidR="00CD6AF8" w:rsidRPr="00CD6AF8" w:rsidRDefault="00CD6AF8" w:rsidP="00377573">
      <w:pPr>
        <w:pStyle w:val="PargrafodaLista"/>
        <w:autoSpaceDE w:val="0"/>
        <w:autoSpaceDN w:val="0"/>
        <w:adjustRightInd w:val="0"/>
        <w:spacing w:line="360" w:lineRule="auto"/>
        <w:ind w:left="0"/>
        <w:contextualSpacing w:val="0"/>
        <w:rPr>
          <w:rFonts w:asciiTheme="minorHAnsi" w:hAnsiTheme="minorHAnsi"/>
          <w:sz w:val="22"/>
          <w:szCs w:val="22"/>
        </w:rPr>
      </w:pPr>
      <w:r w:rsidRPr="00CD6AF8">
        <w:rPr>
          <w:rFonts w:asciiTheme="minorHAnsi" w:hAnsiTheme="minorHAnsi"/>
          <w:sz w:val="22"/>
          <w:szCs w:val="22"/>
        </w:rPr>
        <w:t xml:space="preserve">Diretor Financeiro: </w:t>
      </w:r>
      <w:r w:rsidR="00CC7B24">
        <w:rPr>
          <w:rFonts w:asciiTheme="minorHAnsi" w:hAnsiTheme="minorHAnsi"/>
          <w:sz w:val="22"/>
          <w:szCs w:val="22"/>
        </w:rPr>
        <w:t>Mauricio Akihiro Maki</w:t>
      </w:r>
    </w:p>
    <w:p w14:paraId="1A390C23" w14:textId="6450201A" w:rsidR="00004CFC" w:rsidRPr="00CD6AF8" w:rsidRDefault="00CD6AF8" w:rsidP="00377573">
      <w:pPr>
        <w:pStyle w:val="PargrafodaLista"/>
        <w:autoSpaceDE w:val="0"/>
        <w:autoSpaceDN w:val="0"/>
        <w:adjustRightInd w:val="0"/>
        <w:spacing w:line="360" w:lineRule="auto"/>
        <w:ind w:left="0"/>
        <w:contextualSpacing w:val="0"/>
        <w:rPr>
          <w:rFonts w:asciiTheme="minorHAnsi" w:hAnsiTheme="minorHAnsi"/>
          <w:sz w:val="22"/>
          <w:szCs w:val="22"/>
        </w:rPr>
      </w:pPr>
      <w:r w:rsidRPr="00CD6AF8">
        <w:rPr>
          <w:rFonts w:asciiTheme="minorHAnsi" w:hAnsiTheme="minorHAnsi"/>
          <w:sz w:val="22"/>
          <w:szCs w:val="22"/>
        </w:rPr>
        <w:t>Conselheiros de Administração subscritores d</w:t>
      </w:r>
      <w:r w:rsidR="00D100E6">
        <w:rPr>
          <w:rFonts w:asciiTheme="minorHAnsi" w:hAnsiTheme="minorHAnsi"/>
          <w:sz w:val="22"/>
          <w:szCs w:val="22"/>
        </w:rPr>
        <w:t>est</w:t>
      </w:r>
      <w:r w:rsidRPr="00CD6AF8">
        <w:rPr>
          <w:rFonts w:asciiTheme="minorHAnsi" w:hAnsiTheme="minorHAnsi"/>
          <w:sz w:val="22"/>
          <w:szCs w:val="22"/>
        </w:rPr>
        <w:t>a Carta Anual de Políticas Públicas</w:t>
      </w:r>
      <w:r w:rsidR="00004CFC">
        <w:rPr>
          <w:rFonts w:asciiTheme="minorHAnsi" w:hAnsiTheme="minorHAnsi"/>
          <w:sz w:val="22"/>
          <w:szCs w:val="22"/>
        </w:rPr>
        <w:t xml:space="preserve"> e de Governança Corporativa</w:t>
      </w:r>
      <w:r w:rsidRPr="00CD6AF8">
        <w:rPr>
          <w:rFonts w:asciiTheme="minorHAnsi" w:hAnsiTheme="minorHAnsi"/>
          <w:sz w:val="22"/>
          <w:szCs w:val="22"/>
        </w:rPr>
        <w:t xml:space="preserve">: </w:t>
      </w:r>
      <w:r w:rsidR="00004CFC" w:rsidRPr="00004CFC">
        <w:rPr>
          <w:rFonts w:asciiTheme="minorHAnsi" w:hAnsiTheme="minorHAnsi"/>
          <w:sz w:val="22"/>
          <w:szCs w:val="22"/>
        </w:rPr>
        <w:t>LUIS FELIPE VIDAL ARELLANO, Presidente do Conselho</w:t>
      </w:r>
      <w:r w:rsidR="00004CFC">
        <w:rPr>
          <w:rFonts w:asciiTheme="minorHAnsi" w:hAnsiTheme="minorHAnsi"/>
          <w:sz w:val="22"/>
          <w:szCs w:val="22"/>
        </w:rPr>
        <w:t>;</w:t>
      </w:r>
      <w:r w:rsidR="00004CFC" w:rsidRPr="00004CFC">
        <w:rPr>
          <w:rFonts w:asciiTheme="minorHAnsi" w:hAnsiTheme="minorHAnsi"/>
          <w:sz w:val="22"/>
          <w:szCs w:val="22"/>
        </w:rPr>
        <w:t xml:space="preserve"> </w:t>
      </w:r>
      <w:r w:rsidR="00CC7B24" w:rsidRPr="00CC7B24">
        <w:rPr>
          <w:rFonts w:asciiTheme="minorHAnsi" w:hAnsiTheme="minorHAnsi"/>
          <w:sz w:val="22"/>
          <w:szCs w:val="22"/>
        </w:rPr>
        <w:t>ALEXIS GALIÁS DE SOUZA VARGAS</w:t>
      </w:r>
      <w:r w:rsidR="00CC7B24">
        <w:rPr>
          <w:rFonts w:asciiTheme="minorHAnsi" w:hAnsiTheme="minorHAnsi"/>
          <w:sz w:val="22"/>
          <w:szCs w:val="22"/>
        </w:rPr>
        <w:t>, Conselheiro;</w:t>
      </w:r>
      <w:r w:rsidR="00CC7B24" w:rsidRPr="00CC7B24">
        <w:rPr>
          <w:rFonts w:asciiTheme="minorHAnsi" w:hAnsiTheme="minorHAnsi"/>
          <w:sz w:val="22"/>
          <w:szCs w:val="22"/>
        </w:rPr>
        <w:t xml:space="preserve"> </w:t>
      </w:r>
      <w:r w:rsidR="00A922F7" w:rsidRPr="00357D8B">
        <w:rPr>
          <w:rFonts w:asciiTheme="minorHAnsi" w:hAnsiTheme="minorHAnsi"/>
          <w:sz w:val="22"/>
          <w:szCs w:val="22"/>
        </w:rPr>
        <w:t>CESAR ANGEL BOFFA AZEVEDO</w:t>
      </w:r>
      <w:r w:rsidR="00A922F7" w:rsidRPr="00004CFC">
        <w:rPr>
          <w:rFonts w:asciiTheme="minorHAnsi" w:hAnsiTheme="minorHAnsi"/>
          <w:sz w:val="22"/>
          <w:szCs w:val="22"/>
        </w:rPr>
        <w:t>, Conselheiro</w:t>
      </w:r>
      <w:r w:rsidR="00A922F7">
        <w:rPr>
          <w:rFonts w:asciiTheme="minorHAnsi" w:hAnsiTheme="minorHAnsi"/>
          <w:sz w:val="22"/>
          <w:szCs w:val="22"/>
        </w:rPr>
        <w:t>;</w:t>
      </w:r>
      <w:r w:rsidR="00A922F7" w:rsidRPr="00A922F7">
        <w:rPr>
          <w:rFonts w:asciiTheme="minorHAnsi" w:hAnsiTheme="minorHAnsi"/>
          <w:sz w:val="22"/>
          <w:szCs w:val="22"/>
        </w:rPr>
        <w:t xml:space="preserve"> </w:t>
      </w:r>
      <w:r w:rsidR="00EA5C4E">
        <w:rPr>
          <w:rFonts w:asciiTheme="minorHAnsi" w:hAnsiTheme="minorHAnsi"/>
          <w:sz w:val="22"/>
          <w:szCs w:val="22"/>
        </w:rPr>
        <w:t>CLÁUDIA BICE ROMANO</w:t>
      </w:r>
      <w:r w:rsidR="00EA5C4E" w:rsidRPr="00004CFC">
        <w:rPr>
          <w:rFonts w:asciiTheme="minorHAnsi" w:hAnsiTheme="minorHAnsi"/>
          <w:sz w:val="22"/>
          <w:szCs w:val="22"/>
        </w:rPr>
        <w:t>, Conselheir</w:t>
      </w:r>
      <w:r w:rsidR="00EA5C4E">
        <w:rPr>
          <w:rFonts w:asciiTheme="minorHAnsi" w:hAnsiTheme="minorHAnsi"/>
          <w:sz w:val="22"/>
          <w:szCs w:val="22"/>
        </w:rPr>
        <w:t xml:space="preserve">a; </w:t>
      </w:r>
      <w:r w:rsidR="00A922F7" w:rsidRPr="00357D8B">
        <w:rPr>
          <w:rFonts w:asciiTheme="minorHAnsi" w:hAnsiTheme="minorHAnsi"/>
          <w:sz w:val="22"/>
          <w:szCs w:val="22"/>
        </w:rPr>
        <w:t>JOSÉ ALEXANDRE PEREIRA DE ARAÚJO</w:t>
      </w:r>
      <w:r w:rsidR="00A922F7" w:rsidRPr="00004CFC">
        <w:rPr>
          <w:rFonts w:asciiTheme="minorHAnsi" w:hAnsiTheme="minorHAnsi"/>
          <w:sz w:val="22"/>
          <w:szCs w:val="22"/>
        </w:rPr>
        <w:t>, Conselheiro</w:t>
      </w:r>
      <w:r w:rsidR="00A922F7">
        <w:rPr>
          <w:rFonts w:asciiTheme="minorHAnsi" w:hAnsiTheme="minorHAnsi"/>
          <w:sz w:val="22"/>
          <w:szCs w:val="22"/>
        </w:rPr>
        <w:t>;</w:t>
      </w:r>
      <w:r w:rsidR="00A922F7" w:rsidRPr="00357D8B">
        <w:rPr>
          <w:rFonts w:asciiTheme="minorHAnsi" w:hAnsiTheme="minorHAnsi"/>
          <w:sz w:val="22"/>
          <w:szCs w:val="22"/>
        </w:rPr>
        <w:t xml:space="preserve"> </w:t>
      </w:r>
      <w:r w:rsidR="00357D8B" w:rsidRPr="00357D8B">
        <w:rPr>
          <w:rFonts w:asciiTheme="minorHAnsi" w:hAnsiTheme="minorHAnsi"/>
          <w:sz w:val="22"/>
          <w:szCs w:val="22"/>
        </w:rPr>
        <w:t>MALDE MARIA VILAS BÔAS</w:t>
      </w:r>
      <w:r w:rsidR="00004CFC" w:rsidRPr="00004CFC">
        <w:rPr>
          <w:rFonts w:asciiTheme="minorHAnsi" w:hAnsiTheme="minorHAnsi"/>
          <w:sz w:val="22"/>
          <w:szCs w:val="22"/>
        </w:rPr>
        <w:t>, Conselheir</w:t>
      </w:r>
      <w:r w:rsidR="00357D8B">
        <w:rPr>
          <w:rFonts w:asciiTheme="minorHAnsi" w:hAnsiTheme="minorHAnsi"/>
          <w:sz w:val="22"/>
          <w:szCs w:val="22"/>
        </w:rPr>
        <w:t>a</w:t>
      </w:r>
      <w:r w:rsidR="00004CFC">
        <w:rPr>
          <w:rFonts w:asciiTheme="minorHAnsi" w:hAnsiTheme="minorHAnsi"/>
          <w:sz w:val="22"/>
          <w:szCs w:val="22"/>
        </w:rPr>
        <w:t>;</w:t>
      </w:r>
      <w:r w:rsidR="00357D8B">
        <w:rPr>
          <w:rFonts w:asciiTheme="minorHAnsi" w:hAnsiTheme="minorHAnsi"/>
          <w:sz w:val="22"/>
          <w:szCs w:val="22"/>
        </w:rPr>
        <w:t xml:space="preserve"> </w:t>
      </w:r>
      <w:r w:rsidR="00357D8B" w:rsidRPr="00357D8B">
        <w:rPr>
          <w:rFonts w:asciiTheme="minorHAnsi" w:hAnsiTheme="minorHAnsi"/>
          <w:sz w:val="22"/>
          <w:szCs w:val="22"/>
        </w:rPr>
        <w:t>VITOR DE ALMEIDA SAMPAIO</w:t>
      </w:r>
      <w:r w:rsidR="00004CFC" w:rsidRPr="00004CFC">
        <w:rPr>
          <w:rFonts w:asciiTheme="minorHAnsi" w:hAnsiTheme="minorHAnsi"/>
          <w:sz w:val="22"/>
          <w:szCs w:val="22"/>
        </w:rPr>
        <w:t>, Conselheir</w:t>
      </w:r>
      <w:r w:rsidR="00357D8B">
        <w:rPr>
          <w:rFonts w:asciiTheme="minorHAnsi" w:hAnsiTheme="minorHAnsi"/>
          <w:sz w:val="22"/>
          <w:szCs w:val="22"/>
        </w:rPr>
        <w:t>o</w:t>
      </w:r>
      <w:r w:rsidR="00004CFC">
        <w:rPr>
          <w:rFonts w:asciiTheme="minorHAnsi" w:hAnsiTheme="minorHAnsi"/>
          <w:sz w:val="22"/>
          <w:szCs w:val="22"/>
        </w:rPr>
        <w:t>.</w:t>
      </w:r>
    </w:p>
    <w:p w14:paraId="199358FC" w14:textId="77777777" w:rsidR="00CD6AF8" w:rsidRDefault="00AF6669" w:rsidP="00377573">
      <w:pPr>
        <w:pStyle w:val="PargrafodaLista"/>
        <w:autoSpaceDE w:val="0"/>
        <w:autoSpaceDN w:val="0"/>
        <w:adjustRightInd w:val="0"/>
        <w:spacing w:before="120" w:after="120" w:line="360" w:lineRule="auto"/>
        <w:ind w:left="0"/>
        <w:contextualSpacing w:val="0"/>
        <w:jc w:val="center"/>
        <w:rPr>
          <w:rFonts w:asciiTheme="minorHAnsi" w:hAnsiTheme="minorHAnsi"/>
          <w:b/>
          <w:sz w:val="22"/>
          <w:szCs w:val="22"/>
        </w:rPr>
      </w:pPr>
      <w:r>
        <w:rPr>
          <w:rFonts w:asciiTheme="minorHAnsi" w:hAnsiTheme="minorHAnsi"/>
          <w:b/>
          <w:sz w:val="22"/>
          <w:szCs w:val="22"/>
        </w:rPr>
        <w:t>POLÍTICAS PÚBLICAS</w:t>
      </w:r>
    </w:p>
    <w:p w14:paraId="44C96CDA" w14:textId="77777777" w:rsidR="00AF6669" w:rsidRPr="00AF6669" w:rsidRDefault="00AF6669" w:rsidP="00377573">
      <w:pPr>
        <w:pStyle w:val="PargrafodaLista"/>
        <w:autoSpaceDE w:val="0"/>
        <w:autoSpaceDN w:val="0"/>
        <w:adjustRightInd w:val="0"/>
        <w:spacing w:before="120" w:after="120" w:line="360" w:lineRule="auto"/>
        <w:ind w:left="0"/>
        <w:contextualSpacing w:val="0"/>
        <w:jc w:val="center"/>
        <w:rPr>
          <w:rFonts w:asciiTheme="minorHAnsi" w:hAnsiTheme="minorHAnsi"/>
          <w:b/>
          <w:sz w:val="22"/>
          <w:szCs w:val="22"/>
        </w:rPr>
      </w:pPr>
      <w:r>
        <w:rPr>
          <w:rFonts w:asciiTheme="minorHAnsi" w:hAnsiTheme="minorHAnsi"/>
          <w:b/>
          <w:sz w:val="22"/>
          <w:szCs w:val="22"/>
        </w:rPr>
        <w:t>_________________________________________________________________________</w:t>
      </w:r>
    </w:p>
    <w:p w14:paraId="7E61AE99" w14:textId="77777777" w:rsidR="00AF6669" w:rsidRDefault="00AF6669"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047427C2" w14:textId="77777777" w:rsidR="00CD6AF8" w:rsidRPr="00663522" w:rsidRDefault="00AF6669" w:rsidP="00377573">
      <w:pPr>
        <w:pStyle w:val="PargrafodaLista"/>
        <w:autoSpaceDE w:val="0"/>
        <w:autoSpaceDN w:val="0"/>
        <w:adjustRightInd w:val="0"/>
        <w:spacing w:before="120" w:after="120" w:line="360" w:lineRule="auto"/>
        <w:ind w:left="0"/>
        <w:contextualSpacing w:val="0"/>
        <w:rPr>
          <w:rFonts w:asciiTheme="minorHAnsi" w:hAnsiTheme="minorHAnsi"/>
          <w:b/>
          <w:sz w:val="22"/>
          <w:szCs w:val="22"/>
        </w:rPr>
      </w:pPr>
      <w:r w:rsidRPr="00663522">
        <w:rPr>
          <w:rFonts w:asciiTheme="minorHAnsi" w:hAnsiTheme="minorHAnsi"/>
          <w:b/>
          <w:sz w:val="22"/>
          <w:szCs w:val="22"/>
        </w:rPr>
        <w:lastRenderedPageBreak/>
        <w:t>1 – Interesse público subjacente às atividades empresariais:</w:t>
      </w:r>
    </w:p>
    <w:p w14:paraId="772600D6" w14:textId="77777777" w:rsidR="00AF6669" w:rsidRDefault="00AF6669"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07FAF6E6" w14:textId="6B56CD34" w:rsidR="00CD6AF8" w:rsidRDefault="00CD6AF8" w:rsidP="00377573">
      <w:pPr>
        <w:autoSpaceDE w:val="0"/>
        <w:autoSpaceDN w:val="0"/>
        <w:adjustRightInd w:val="0"/>
        <w:spacing w:before="120" w:after="120" w:line="360" w:lineRule="auto"/>
        <w:jc w:val="both"/>
        <w:rPr>
          <w:rFonts w:eastAsiaTheme="minorEastAsia"/>
        </w:rPr>
      </w:pPr>
      <w:r w:rsidRPr="004D5867">
        <w:t xml:space="preserve">A Companhia </w:t>
      </w:r>
      <w:r>
        <w:t>São Paulo de Desenvolvimento e Mobilização de Ativos</w:t>
      </w:r>
      <w:r w:rsidRPr="004D5867">
        <w:t xml:space="preserve"> (“</w:t>
      </w:r>
      <w:r w:rsidRPr="004D5867">
        <w:rPr>
          <w:b/>
        </w:rPr>
        <w:t>SP</w:t>
      </w:r>
      <w:r>
        <w:rPr>
          <w:b/>
        </w:rPr>
        <w:t>DA</w:t>
      </w:r>
      <w:r w:rsidRPr="004D5867">
        <w:t>” ou “</w:t>
      </w:r>
      <w:r w:rsidRPr="004D5867">
        <w:rPr>
          <w:b/>
        </w:rPr>
        <w:t>Companhia</w:t>
      </w:r>
      <w:r w:rsidRPr="004D5867">
        <w:t>”) é uma sociedade</w:t>
      </w:r>
      <w:r>
        <w:t xml:space="preserve"> de economia mista criada pela Lei Municipal nº 14.649, de 2007 para</w:t>
      </w:r>
      <w:r w:rsidR="00B55DD0">
        <w:t xml:space="preserve"> atender ao interesse público de</w:t>
      </w:r>
      <w:r>
        <w:t xml:space="preserve"> </w:t>
      </w:r>
      <w:r>
        <w:rPr>
          <w:rFonts w:eastAsiaTheme="minorEastAsia"/>
        </w:rPr>
        <w:t>f</w:t>
      </w:r>
      <w:r w:rsidRPr="00663F76">
        <w:rPr>
          <w:rFonts w:eastAsiaTheme="minorEastAsia"/>
        </w:rPr>
        <w:t>ornecer e impl</w:t>
      </w:r>
      <w:r w:rsidR="00CF507E">
        <w:rPr>
          <w:rFonts w:eastAsiaTheme="minorEastAsia"/>
        </w:rPr>
        <w:t>a</w:t>
      </w:r>
      <w:r w:rsidRPr="00663F76">
        <w:rPr>
          <w:rFonts w:eastAsiaTheme="minorEastAsia"/>
        </w:rPr>
        <w:t>ntar estruturas mais eficientes para a otim</w:t>
      </w:r>
      <w:r>
        <w:rPr>
          <w:rFonts w:eastAsiaTheme="minorEastAsia"/>
        </w:rPr>
        <w:t>ização dos fluxos financeiros do Município de São Paulo (“</w:t>
      </w:r>
      <w:r w:rsidRPr="00EC79BA">
        <w:rPr>
          <w:rFonts w:eastAsiaTheme="minorEastAsia"/>
          <w:b/>
        </w:rPr>
        <w:t>Município</w:t>
      </w:r>
      <w:r>
        <w:rPr>
          <w:rFonts w:eastAsiaTheme="minorEastAsia"/>
        </w:rPr>
        <w:t>”)</w:t>
      </w:r>
      <w:r w:rsidRPr="00663F76">
        <w:rPr>
          <w:rFonts w:eastAsiaTheme="minorEastAsia"/>
        </w:rPr>
        <w:t>.</w:t>
      </w:r>
      <w:r w:rsidR="00B55DD0">
        <w:rPr>
          <w:rFonts w:eastAsiaTheme="minorEastAsia"/>
        </w:rPr>
        <w:t xml:space="preserve"> Para tanto, foi criada com o objeto social de </w:t>
      </w:r>
      <w:r w:rsidR="00B55DD0" w:rsidRPr="00B55DD0">
        <w:rPr>
          <w:rFonts w:eastAsiaTheme="minorEastAsia"/>
        </w:rPr>
        <w:t>social auxiliar o Poder Executivo na promoção do desenvolvimento econômico e social da Cidade de São Paulo e na otimização do fluxo de recursos financeiros para o financiamento de projetos prioritários, bem como na administração do pagamento de dívidas do Município</w:t>
      </w:r>
      <w:r w:rsidR="00B55DD0">
        <w:rPr>
          <w:rFonts w:eastAsiaTheme="minorEastAsia"/>
        </w:rPr>
        <w:t>.</w:t>
      </w:r>
    </w:p>
    <w:p w14:paraId="41DE916C" w14:textId="77777777" w:rsidR="00AF6669" w:rsidRDefault="00AF6669" w:rsidP="00377573">
      <w:pPr>
        <w:autoSpaceDE w:val="0"/>
        <w:autoSpaceDN w:val="0"/>
        <w:adjustRightInd w:val="0"/>
        <w:spacing w:before="120" w:after="120" w:line="360" w:lineRule="auto"/>
        <w:jc w:val="both"/>
        <w:rPr>
          <w:rFonts w:eastAsiaTheme="minorEastAsia"/>
        </w:rPr>
      </w:pPr>
    </w:p>
    <w:p w14:paraId="127DBB19" w14:textId="77777777" w:rsidR="00AF6669" w:rsidRDefault="00AF6669" w:rsidP="00377573">
      <w:pPr>
        <w:autoSpaceDE w:val="0"/>
        <w:autoSpaceDN w:val="0"/>
        <w:adjustRightInd w:val="0"/>
        <w:spacing w:before="120" w:after="120" w:line="360" w:lineRule="auto"/>
        <w:jc w:val="both"/>
        <w:rPr>
          <w:rFonts w:eastAsiaTheme="minorEastAsia"/>
          <w:b/>
        </w:rPr>
      </w:pPr>
      <w:r w:rsidRPr="00663522">
        <w:rPr>
          <w:rFonts w:eastAsiaTheme="minorEastAsia"/>
          <w:b/>
        </w:rPr>
        <w:t>2 – Políticas públicas:</w:t>
      </w:r>
      <w:r w:rsidRPr="00663522">
        <w:rPr>
          <w:rFonts w:eastAsiaTheme="minorEastAsia"/>
          <w:b/>
        </w:rPr>
        <w:cr/>
      </w:r>
    </w:p>
    <w:p w14:paraId="7C7F5FE8" w14:textId="77777777" w:rsidR="002B2833" w:rsidRPr="002B2833" w:rsidRDefault="002B2833" w:rsidP="00377573">
      <w:pPr>
        <w:autoSpaceDE w:val="0"/>
        <w:autoSpaceDN w:val="0"/>
        <w:adjustRightInd w:val="0"/>
        <w:spacing w:before="120" w:after="120" w:line="360" w:lineRule="auto"/>
        <w:jc w:val="both"/>
        <w:rPr>
          <w:rFonts w:eastAsiaTheme="minorEastAsia"/>
        </w:rPr>
      </w:pPr>
      <w:r w:rsidRPr="00215DCD">
        <w:rPr>
          <w:rFonts w:eastAsiaTheme="minorEastAsia"/>
          <w:u w:val="single"/>
        </w:rPr>
        <w:t>Visão</w:t>
      </w:r>
      <w:r w:rsidRPr="002B2833">
        <w:rPr>
          <w:rFonts w:eastAsiaTheme="minorEastAsia"/>
        </w:rPr>
        <w:t>: Ser uma empresa referenciada pela excelência na estruturação de operações financeiras que envolvam a emissão e distribuição de valores mobiliários.</w:t>
      </w:r>
    </w:p>
    <w:p w14:paraId="3D8F3F77" w14:textId="77777777" w:rsidR="002B2833" w:rsidRDefault="002B2833" w:rsidP="00377573">
      <w:pPr>
        <w:autoSpaceDE w:val="0"/>
        <w:autoSpaceDN w:val="0"/>
        <w:adjustRightInd w:val="0"/>
        <w:spacing w:before="120" w:after="120" w:line="360" w:lineRule="auto"/>
        <w:jc w:val="both"/>
        <w:rPr>
          <w:rFonts w:eastAsiaTheme="minorEastAsia"/>
        </w:rPr>
      </w:pPr>
      <w:r w:rsidRPr="00215DCD">
        <w:rPr>
          <w:rFonts w:eastAsiaTheme="minorEastAsia"/>
          <w:u w:val="single"/>
        </w:rPr>
        <w:t>Missão</w:t>
      </w:r>
      <w:r w:rsidRPr="002B2833">
        <w:rPr>
          <w:rFonts w:eastAsiaTheme="minorEastAsia"/>
        </w:rPr>
        <w:t>: Auxiliar a Prefeitura Municipal de São Paulo na articulação e operacionalização de políticas públicas voltadas para o desenvolvimento econômico e social do Município, por meio da captação de recursos financeiros junto ao mercado de capitais</w:t>
      </w:r>
      <w:r w:rsidR="00F747F0">
        <w:rPr>
          <w:rFonts w:eastAsiaTheme="minorEastAsia"/>
        </w:rPr>
        <w:t xml:space="preserve"> e prestação de garantias em contratos públicos</w:t>
      </w:r>
      <w:r w:rsidRPr="002B2833">
        <w:rPr>
          <w:rFonts w:eastAsiaTheme="minorEastAsia"/>
        </w:rPr>
        <w:t>.</w:t>
      </w:r>
    </w:p>
    <w:p w14:paraId="3B829F8F" w14:textId="77777777" w:rsidR="00663522" w:rsidRPr="00663522" w:rsidRDefault="00663522" w:rsidP="00377573">
      <w:pPr>
        <w:autoSpaceDE w:val="0"/>
        <w:autoSpaceDN w:val="0"/>
        <w:adjustRightInd w:val="0"/>
        <w:spacing w:before="120" w:after="120" w:line="360" w:lineRule="auto"/>
        <w:jc w:val="both"/>
        <w:rPr>
          <w:rFonts w:eastAsiaTheme="minorEastAsia"/>
        </w:rPr>
      </w:pPr>
    </w:p>
    <w:p w14:paraId="1D2FF6EF" w14:textId="77777777" w:rsidR="00AF6669" w:rsidRDefault="00AF6669" w:rsidP="00377573">
      <w:pPr>
        <w:autoSpaceDE w:val="0"/>
        <w:autoSpaceDN w:val="0"/>
        <w:adjustRightInd w:val="0"/>
        <w:spacing w:before="120" w:after="120" w:line="360" w:lineRule="auto"/>
        <w:jc w:val="both"/>
        <w:rPr>
          <w:rFonts w:eastAsiaTheme="minorEastAsia"/>
          <w:b/>
        </w:rPr>
      </w:pPr>
      <w:r w:rsidRPr="00663522">
        <w:rPr>
          <w:rFonts w:eastAsiaTheme="minorEastAsia"/>
          <w:b/>
        </w:rPr>
        <w:t xml:space="preserve">3 </w:t>
      </w:r>
      <w:r w:rsidR="004B40D5" w:rsidRPr="00663522">
        <w:rPr>
          <w:rFonts w:eastAsiaTheme="minorEastAsia"/>
          <w:b/>
        </w:rPr>
        <w:t xml:space="preserve">– </w:t>
      </w:r>
      <w:r w:rsidRPr="00663522">
        <w:rPr>
          <w:rFonts w:eastAsiaTheme="minorEastAsia"/>
          <w:b/>
        </w:rPr>
        <w:t>Metas relativas ao desenvolvimento de atividades que atendam aos objetivos de políticas públicas:</w:t>
      </w:r>
    </w:p>
    <w:p w14:paraId="5420FB53" w14:textId="77777777" w:rsidR="00C3164B" w:rsidRPr="00663522" w:rsidRDefault="00C3164B" w:rsidP="00377573">
      <w:pPr>
        <w:autoSpaceDE w:val="0"/>
        <w:autoSpaceDN w:val="0"/>
        <w:adjustRightInd w:val="0"/>
        <w:spacing w:before="120" w:after="120" w:line="360" w:lineRule="auto"/>
        <w:jc w:val="both"/>
        <w:rPr>
          <w:rFonts w:eastAsiaTheme="minorEastAsia"/>
          <w:b/>
        </w:rPr>
      </w:pPr>
    </w:p>
    <w:p w14:paraId="10568A74" w14:textId="77777777" w:rsidR="00AF6669" w:rsidRDefault="00663522" w:rsidP="00377573">
      <w:pPr>
        <w:autoSpaceDE w:val="0"/>
        <w:autoSpaceDN w:val="0"/>
        <w:adjustRightInd w:val="0"/>
        <w:spacing w:before="120" w:after="120" w:line="360" w:lineRule="auto"/>
        <w:jc w:val="both"/>
        <w:rPr>
          <w:rFonts w:eastAsiaTheme="minorEastAsia"/>
        </w:rPr>
      </w:pPr>
      <w:r>
        <w:rPr>
          <w:rFonts w:eastAsiaTheme="minorEastAsia"/>
        </w:rPr>
        <w:t>As Metas (Produtos) constam do Anexo I</w:t>
      </w:r>
      <w:r w:rsidR="00356CF3">
        <w:rPr>
          <w:rFonts w:eastAsiaTheme="minorEastAsia"/>
        </w:rPr>
        <w:t>, extraído do Compromisso de Desempenho Institucional da Companhia (“</w:t>
      </w:r>
      <w:r w:rsidR="00356CF3" w:rsidRPr="00F33F41">
        <w:rPr>
          <w:rFonts w:eastAsiaTheme="minorEastAsia"/>
          <w:b/>
        </w:rPr>
        <w:t>CDI</w:t>
      </w:r>
      <w:r w:rsidR="00356CF3">
        <w:rPr>
          <w:rFonts w:eastAsiaTheme="minorEastAsia"/>
        </w:rPr>
        <w:t>”)</w:t>
      </w:r>
      <w:r>
        <w:rPr>
          <w:rFonts w:eastAsiaTheme="minorEastAsia"/>
        </w:rPr>
        <w:t xml:space="preserve"> ao presente documento</w:t>
      </w:r>
    </w:p>
    <w:p w14:paraId="630A3BCF" w14:textId="7C0B26CB" w:rsidR="00C26D09" w:rsidRPr="00C26D09" w:rsidRDefault="00C26D09" w:rsidP="00377573">
      <w:pPr>
        <w:autoSpaceDE w:val="0"/>
        <w:autoSpaceDN w:val="0"/>
        <w:adjustRightInd w:val="0"/>
        <w:spacing w:before="120" w:after="120" w:line="360" w:lineRule="auto"/>
        <w:jc w:val="both"/>
        <w:rPr>
          <w:rFonts w:eastAsiaTheme="minorEastAsia"/>
        </w:rPr>
      </w:pPr>
      <w:r w:rsidRPr="00C26D09">
        <w:rPr>
          <w:rFonts w:eastAsiaTheme="minorEastAsia"/>
        </w:rPr>
        <w:t xml:space="preserve">Observação: A previsão de um produto no presente </w:t>
      </w:r>
      <w:r w:rsidR="00356CF3">
        <w:rPr>
          <w:rFonts w:eastAsiaTheme="minorEastAsia"/>
        </w:rPr>
        <w:t>documento</w:t>
      </w:r>
      <w:r w:rsidRPr="00C26D09">
        <w:rPr>
          <w:rFonts w:eastAsiaTheme="minorEastAsia"/>
        </w:rPr>
        <w:t xml:space="preserve"> representa meta de contratação e execução da </w:t>
      </w:r>
      <w:r w:rsidR="00D100E6">
        <w:rPr>
          <w:rFonts w:eastAsiaTheme="minorEastAsia"/>
        </w:rPr>
        <w:t>Companhia</w:t>
      </w:r>
      <w:r w:rsidRPr="00C26D09">
        <w:rPr>
          <w:rFonts w:eastAsiaTheme="minorEastAsia"/>
        </w:rPr>
        <w:t xml:space="preserve">, não </w:t>
      </w:r>
      <w:proofErr w:type="gramStart"/>
      <w:r w:rsidRPr="00C26D09">
        <w:rPr>
          <w:rFonts w:eastAsiaTheme="minorEastAsia"/>
        </w:rPr>
        <w:t xml:space="preserve">consistindo necessariamente </w:t>
      </w:r>
      <w:proofErr w:type="gramEnd"/>
      <w:r w:rsidRPr="00C26D09">
        <w:rPr>
          <w:rFonts w:eastAsiaTheme="minorEastAsia"/>
        </w:rPr>
        <w:t>compromisso de contratação por parte da Prefeitura do Município de São Paulo.</w:t>
      </w:r>
    </w:p>
    <w:p w14:paraId="1AA572D5" w14:textId="52DC30F5" w:rsidR="00663522" w:rsidRDefault="00C26D09" w:rsidP="00377573">
      <w:pPr>
        <w:autoSpaceDE w:val="0"/>
        <w:autoSpaceDN w:val="0"/>
        <w:adjustRightInd w:val="0"/>
        <w:spacing w:before="120" w:after="120" w:line="360" w:lineRule="auto"/>
        <w:jc w:val="both"/>
        <w:rPr>
          <w:rFonts w:eastAsiaTheme="minorEastAsia"/>
        </w:rPr>
      </w:pPr>
      <w:r w:rsidRPr="00C26D09">
        <w:rPr>
          <w:rFonts w:eastAsiaTheme="minorEastAsia"/>
        </w:rPr>
        <w:lastRenderedPageBreak/>
        <w:t xml:space="preserve">Os produtos representam itens a serem entregues pela </w:t>
      </w:r>
      <w:r w:rsidR="00D100E6">
        <w:rPr>
          <w:rFonts w:eastAsiaTheme="minorEastAsia"/>
        </w:rPr>
        <w:t>Companhia</w:t>
      </w:r>
      <w:r w:rsidRPr="00C26D09">
        <w:rPr>
          <w:rFonts w:eastAsiaTheme="minorEastAsia"/>
        </w:rPr>
        <w:t>, criados a partir da sua própria ação. Podem ter um cliente externo ou interno, quando se destina ao consumo de alguma área da própria entidade.</w:t>
      </w:r>
    </w:p>
    <w:p w14:paraId="583307CE" w14:textId="77777777" w:rsidR="00C26D09" w:rsidRDefault="00C26D09" w:rsidP="00377573">
      <w:pPr>
        <w:autoSpaceDE w:val="0"/>
        <w:autoSpaceDN w:val="0"/>
        <w:adjustRightInd w:val="0"/>
        <w:spacing w:before="120" w:after="120" w:line="360" w:lineRule="auto"/>
        <w:jc w:val="both"/>
        <w:rPr>
          <w:rFonts w:eastAsiaTheme="minorEastAsia"/>
        </w:rPr>
      </w:pPr>
    </w:p>
    <w:p w14:paraId="38BF4D0B" w14:textId="77777777" w:rsidR="00AF6669" w:rsidRPr="00663522" w:rsidRDefault="00AF6669" w:rsidP="00377573">
      <w:pPr>
        <w:autoSpaceDE w:val="0"/>
        <w:autoSpaceDN w:val="0"/>
        <w:adjustRightInd w:val="0"/>
        <w:spacing w:before="120" w:after="120" w:line="360" w:lineRule="auto"/>
        <w:jc w:val="both"/>
        <w:rPr>
          <w:rFonts w:eastAsiaTheme="minorEastAsia"/>
          <w:b/>
        </w:rPr>
      </w:pPr>
      <w:r w:rsidRPr="00663522">
        <w:rPr>
          <w:rFonts w:eastAsiaTheme="minorEastAsia"/>
          <w:b/>
        </w:rPr>
        <w:t>4 – Recursos para custeio das políticas públicas:</w:t>
      </w:r>
    </w:p>
    <w:p w14:paraId="1DFB655B" w14:textId="77777777" w:rsidR="00AF6669" w:rsidRDefault="00C26D09" w:rsidP="00377573">
      <w:pPr>
        <w:autoSpaceDE w:val="0"/>
        <w:autoSpaceDN w:val="0"/>
        <w:adjustRightInd w:val="0"/>
        <w:spacing w:before="120" w:after="120" w:line="360" w:lineRule="auto"/>
        <w:jc w:val="both"/>
        <w:rPr>
          <w:rFonts w:eastAsiaTheme="minorEastAsia"/>
        </w:rPr>
      </w:pPr>
      <w:r>
        <w:rPr>
          <w:rFonts w:eastAsiaTheme="minorEastAsia"/>
        </w:rPr>
        <w:t>Os recursos para o custeio das políticas públicas</w:t>
      </w:r>
      <w:r w:rsidR="0075136B">
        <w:rPr>
          <w:rFonts w:eastAsiaTheme="minorEastAsia"/>
        </w:rPr>
        <w:t xml:space="preserve"> desenvolvidas pela Companhia </w:t>
      </w:r>
      <w:r>
        <w:rPr>
          <w:rFonts w:eastAsiaTheme="minorEastAsia"/>
        </w:rPr>
        <w:t>estão atrelados à entrega das metas e produtos descritos no item anterior.</w:t>
      </w:r>
    </w:p>
    <w:p w14:paraId="506C1D0A" w14:textId="77777777" w:rsidR="00663522" w:rsidRDefault="00663522" w:rsidP="00377573">
      <w:pPr>
        <w:autoSpaceDE w:val="0"/>
        <w:autoSpaceDN w:val="0"/>
        <w:adjustRightInd w:val="0"/>
        <w:spacing w:before="120" w:after="120" w:line="360" w:lineRule="auto"/>
        <w:jc w:val="both"/>
        <w:rPr>
          <w:rFonts w:eastAsiaTheme="minorEastAsia"/>
        </w:rPr>
      </w:pPr>
    </w:p>
    <w:p w14:paraId="5EA2DF53" w14:textId="77777777" w:rsidR="00AF6669" w:rsidRPr="00663522" w:rsidRDefault="00AF6669" w:rsidP="00377573">
      <w:pPr>
        <w:autoSpaceDE w:val="0"/>
        <w:autoSpaceDN w:val="0"/>
        <w:adjustRightInd w:val="0"/>
        <w:spacing w:before="120" w:after="120" w:line="360" w:lineRule="auto"/>
        <w:jc w:val="both"/>
        <w:rPr>
          <w:rFonts w:eastAsiaTheme="minorEastAsia"/>
          <w:b/>
        </w:rPr>
      </w:pPr>
      <w:r w:rsidRPr="00663522">
        <w:rPr>
          <w:b/>
        </w:rPr>
        <w:t xml:space="preserve">5 – </w:t>
      </w:r>
      <w:r w:rsidR="0075136B">
        <w:rPr>
          <w:b/>
          <w:bCs/>
          <w:sz w:val="23"/>
          <w:szCs w:val="23"/>
        </w:rPr>
        <w:t>Estruturas de controles internos e gerenciamento de riscos</w:t>
      </w:r>
      <w:r w:rsidRPr="00663522">
        <w:rPr>
          <w:b/>
        </w:rPr>
        <w:t>:</w:t>
      </w:r>
    </w:p>
    <w:p w14:paraId="295E5310" w14:textId="77777777" w:rsidR="00AF6669" w:rsidRDefault="004D0CD6" w:rsidP="00377573">
      <w:pPr>
        <w:autoSpaceDE w:val="0"/>
        <w:autoSpaceDN w:val="0"/>
        <w:adjustRightInd w:val="0"/>
        <w:spacing w:before="120" w:after="120" w:line="360" w:lineRule="auto"/>
        <w:jc w:val="both"/>
      </w:pPr>
      <w:r>
        <w:t xml:space="preserve">As estruturas de controles internos e gerenciamento de riscos estão descritas na </w:t>
      </w:r>
      <w:r w:rsidR="00AA4D6C">
        <w:t>Seção</w:t>
      </w:r>
      <w:r>
        <w:t xml:space="preserve"> de Governança Corporativa abaixo.</w:t>
      </w:r>
    </w:p>
    <w:p w14:paraId="22A55379" w14:textId="77777777" w:rsidR="0075136B" w:rsidRDefault="0075136B" w:rsidP="00377573">
      <w:pPr>
        <w:autoSpaceDE w:val="0"/>
        <w:autoSpaceDN w:val="0"/>
        <w:adjustRightInd w:val="0"/>
        <w:spacing w:before="120" w:after="120" w:line="360" w:lineRule="auto"/>
        <w:jc w:val="both"/>
      </w:pPr>
    </w:p>
    <w:p w14:paraId="3B800773" w14:textId="77777777" w:rsidR="00EF4C1B" w:rsidRDefault="00EF4C1B" w:rsidP="00377573">
      <w:pPr>
        <w:autoSpaceDE w:val="0"/>
        <w:autoSpaceDN w:val="0"/>
        <w:adjustRightInd w:val="0"/>
        <w:spacing w:before="120" w:after="120" w:line="360" w:lineRule="auto"/>
        <w:jc w:val="both"/>
      </w:pPr>
      <w:r>
        <w:rPr>
          <w:b/>
        </w:rPr>
        <w:t>6</w:t>
      </w:r>
      <w:r w:rsidRPr="00663522">
        <w:rPr>
          <w:b/>
        </w:rPr>
        <w:t xml:space="preserve"> – </w:t>
      </w:r>
      <w:r>
        <w:rPr>
          <w:b/>
          <w:bCs/>
          <w:sz w:val="23"/>
          <w:szCs w:val="23"/>
        </w:rPr>
        <w:t>Fatores de Risco:</w:t>
      </w:r>
    </w:p>
    <w:p w14:paraId="39AA8CFC" w14:textId="77777777" w:rsidR="004D0CD6" w:rsidRDefault="004D0CD6" w:rsidP="00377573">
      <w:pPr>
        <w:autoSpaceDE w:val="0"/>
        <w:autoSpaceDN w:val="0"/>
        <w:adjustRightInd w:val="0"/>
        <w:spacing w:before="120" w:after="120" w:line="360" w:lineRule="auto"/>
        <w:jc w:val="both"/>
      </w:pPr>
      <w:r>
        <w:t xml:space="preserve">Os fatores de riscos estão descritos na </w:t>
      </w:r>
      <w:r w:rsidR="00AA4D6C">
        <w:t>Seção</w:t>
      </w:r>
      <w:r>
        <w:t xml:space="preserve"> de Governança Corporativa abaixo.</w:t>
      </w:r>
    </w:p>
    <w:p w14:paraId="5EEF80F4" w14:textId="77777777" w:rsidR="0075136B" w:rsidRDefault="0075136B" w:rsidP="00377573">
      <w:pPr>
        <w:autoSpaceDE w:val="0"/>
        <w:autoSpaceDN w:val="0"/>
        <w:adjustRightInd w:val="0"/>
        <w:spacing w:before="120" w:after="120" w:line="360" w:lineRule="auto"/>
        <w:jc w:val="both"/>
      </w:pPr>
    </w:p>
    <w:p w14:paraId="2532EF94" w14:textId="77777777" w:rsidR="00EF4C1B" w:rsidRDefault="00EF4C1B" w:rsidP="00377573">
      <w:pPr>
        <w:autoSpaceDE w:val="0"/>
        <w:autoSpaceDN w:val="0"/>
        <w:adjustRightInd w:val="0"/>
        <w:spacing w:before="120" w:after="120" w:line="360" w:lineRule="auto"/>
        <w:jc w:val="both"/>
      </w:pPr>
      <w:r>
        <w:rPr>
          <w:b/>
        </w:rPr>
        <w:t>7</w:t>
      </w:r>
      <w:r w:rsidRPr="00663522">
        <w:rPr>
          <w:b/>
        </w:rPr>
        <w:t xml:space="preserve"> – </w:t>
      </w:r>
      <w:r>
        <w:rPr>
          <w:b/>
          <w:bCs/>
          <w:sz w:val="23"/>
          <w:szCs w:val="23"/>
        </w:rPr>
        <w:t>Remuneração:</w:t>
      </w:r>
    </w:p>
    <w:p w14:paraId="2E1DB990" w14:textId="77777777" w:rsidR="0075136B" w:rsidRDefault="001F3796" w:rsidP="00377573">
      <w:pPr>
        <w:autoSpaceDE w:val="0"/>
        <w:autoSpaceDN w:val="0"/>
        <w:adjustRightInd w:val="0"/>
        <w:spacing w:before="120" w:after="120" w:line="360" w:lineRule="auto"/>
        <w:jc w:val="both"/>
      </w:pPr>
      <w:r w:rsidRPr="008A7956">
        <w:t xml:space="preserve">Os </w:t>
      </w:r>
      <w:r>
        <w:t xml:space="preserve">diretores e empregados da Companhia percebem remuneração fixa, não havendo pagamento de parcela variável alinhada aos indicadores de desempenho. A descrição das faixas de remuneração está descrita na </w:t>
      </w:r>
      <w:r w:rsidR="00AA4D6C">
        <w:t>Seção</w:t>
      </w:r>
      <w:r>
        <w:t xml:space="preserve"> de Governança Corporativa abaixo.</w:t>
      </w:r>
    </w:p>
    <w:p w14:paraId="45649703" w14:textId="77777777" w:rsidR="00004CFC" w:rsidRDefault="00004CFC" w:rsidP="00377573">
      <w:pPr>
        <w:spacing w:before="120" w:after="120" w:line="360" w:lineRule="auto"/>
        <w:rPr>
          <w:rFonts w:eastAsia="Times New Roman" w:cs="Times New Roman"/>
          <w:lang w:eastAsia="pt-BR"/>
        </w:rPr>
      </w:pPr>
      <w:r>
        <w:br w:type="page"/>
      </w:r>
    </w:p>
    <w:p w14:paraId="3F0235CA" w14:textId="77777777" w:rsidR="00EF4C1B" w:rsidRDefault="00EF4C1B" w:rsidP="00377573">
      <w:pPr>
        <w:pStyle w:val="PargrafodaLista"/>
        <w:autoSpaceDE w:val="0"/>
        <w:autoSpaceDN w:val="0"/>
        <w:adjustRightInd w:val="0"/>
        <w:spacing w:before="120" w:after="120" w:line="360" w:lineRule="auto"/>
        <w:ind w:left="0"/>
        <w:contextualSpacing w:val="0"/>
        <w:jc w:val="center"/>
        <w:rPr>
          <w:rFonts w:asciiTheme="minorHAnsi" w:hAnsiTheme="minorHAnsi"/>
          <w:b/>
          <w:sz w:val="22"/>
          <w:szCs w:val="22"/>
        </w:rPr>
      </w:pPr>
      <w:r>
        <w:rPr>
          <w:rFonts w:asciiTheme="minorHAnsi" w:hAnsiTheme="minorHAnsi"/>
          <w:b/>
          <w:sz w:val="22"/>
          <w:szCs w:val="22"/>
        </w:rPr>
        <w:lastRenderedPageBreak/>
        <w:t>GOVERNANÇA CORPORATIVA</w:t>
      </w:r>
    </w:p>
    <w:p w14:paraId="52D66F35" w14:textId="77777777" w:rsidR="00EF4C1B" w:rsidRPr="00AF6669" w:rsidRDefault="00EF4C1B" w:rsidP="00377573">
      <w:pPr>
        <w:pStyle w:val="PargrafodaLista"/>
        <w:autoSpaceDE w:val="0"/>
        <w:autoSpaceDN w:val="0"/>
        <w:adjustRightInd w:val="0"/>
        <w:spacing w:before="120" w:after="120" w:line="360" w:lineRule="auto"/>
        <w:ind w:left="0"/>
        <w:contextualSpacing w:val="0"/>
        <w:jc w:val="center"/>
        <w:rPr>
          <w:rFonts w:asciiTheme="minorHAnsi" w:hAnsiTheme="minorHAnsi"/>
          <w:b/>
          <w:sz w:val="22"/>
          <w:szCs w:val="22"/>
        </w:rPr>
      </w:pPr>
      <w:r>
        <w:rPr>
          <w:rFonts w:asciiTheme="minorHAnsi" w:hAnsiTheme="minorHAnsi"/>
          <w:b/>
          <w:sz w:val="22"/>
          <w:szCs w:val="22"/>
        </w:rPr>
        <w:t>_________________________________________________________________________</w:t>
      </w:r>
    </w:p>
    <w:p w14:paraId="07752284" w14:textId="77777777" w:rsidR="00CD6AF8" w:rsidRDefault="00CD6AF8"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33B9E8C3" w14:textId="77777777" w:rsidR="0002310E" w:rsidRPr="0002310E" w:rsidRDefault="0002310E" w:rsidP="00377573">
      <w:pPr>
        <w:pStyle w:val="PargrafodaLista"/>
        <w:numPr>
          <w:ilvl w:val="0"/>
          <w:numId w:val="1"/>
        </w:numPr>
        <w:autoSpaceDE w:val="0"/>
        <w:autoSpaceDN w:val="0"/>
        <w:adjustRightInd w:val="0"/>
        <w:spacing w:before="120" w:after="120" w:line="360" w:lineRule="auto"/>
        <w:ind w:left="0" w:firstLine="0"/>
        <w:contextualSpacing w:val="0"/>
        <w:rPr>
          <w:rFonts w:asciiTheme="minorHAnsi" w:hAnsiTheme="minorHAnsi"/>
          <w:b/>
          <w:sz w:val="22"/>
          <w:szCs w:val="22"/>
        </w:rPr>
      </w:pPr>
      <w:r w:rsidRPr="0002310E">
        <w:rPr>
          <w:rFonts w:asciiTheme="minorHAnsi" w:hAnsiTheme="minorHAnsi"/>
          <w:b/>
          <w:sz w:val="22"/>
          <w:szCs w:val="22"/>
        </w:rPr>
        <w:t>ATIVIDADES DESENVOLVIDAS</w:t>
      </w:r>
      <w:r w:rsidR="00163FD5">
        <w:rPr>
          <w:rFonts w:asciiTheme="minorHAnsi" w:hAnsiTheme="minorHAnsi"/>
          <w:b/>
          <w:sz w:val="22"/>
          <w:szCs w:val="22"/>
        </w:rPr>
        <w:t xml:space="preserve"> </w:t>
      </w:r>
    </w:p>
    <w:p w14:paraId="7E234D43" w14:textId="77777777" w:rsidR="0002310E" w:rsidRDefault="0002310E"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2B580E09" w14:textId="77777777" w:rsid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sidRPr="00813E66">
        <w:rPr>
          <w:rFonts w:asciiTheme="minorHAnsi" w:hAnsiTheme="minorHAnsi"/>
          <w:sz w:val="22"/>
          <w:szCs w:val="22"/>
        </w:rPr>
        <w:t>Seus objetivos estratégicos compreendem:</w:t>
      </w:r>
    </w:p>
    <w:p w14:paraId="6C1F2B23"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02C6BC94" w14:textId="77777777" w:rsidR="00813E66" w:rsidRDefault="00813E66" w:rsidP="00377573">
      <w:pPr>
        <w:pStyle w:val="PargrafodaLista"/>
        <w:numPr>
          <w:ilvl w:val="1"/>
          <w:numId w:val="6"/>
        </w:numPr>
        <w:autoSpaceDE w:val="0"/>
        <w:autoSpaceDN w:val="0"/>
        <w:adjustRightInd w:val="0"/>
        <w:spacing w:before="120" w:after="120" w:line="360" w:lineRule="auto"/>
        <w:ind w:left="0" w:firstLine="0"/>
        <w:contextualSpacing w:val="0"/>
        <w:rPr>
          <w:rFonts w:asciiTheme="minorHAnsi" w:hAnsiTheme="minorHAnsi"/>
          <w:b/>
          <w:sz w:val="22"/>
          <w:szCs w:val="22"/>
        </w:rPr>
      </w:pPr>
      <w:r w:rsidRPr="00813E66">
        <w:rPr>
          <w:rFonts w:asciiTheme="minorHAnsi" w:hAnsiTheme="minorHAnsi"/>
          <w:b/>
          <w:sz w:val="22"/>
          <w:szCs w:val="22"/>
        </w:rPr>
        <w:t>Desenvolver estruturas financeiras para captação de recursos junto ao mercado de capitais brasileiro ou internacional.</w:t>
      </w:r>
    </w:p>
    <w:p w14:paraId="1D3D2BBF"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b/>
          <w:sz w:val="22"/>
          <w:szCs w:val="22"/>
        </w:rPr>
      </w:pPr>
    </w:p>
    <w:p w14:paraId="4EC3F7C9" w14:textId="77777777" w:rsid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sidRPr="00813E66">
        <w:rPr>
          <w:rFonts w:asciiTheme="minorHAnsi" w:hAnsiTheme="minorHAnsi"/>
          <w:sz w:val="22"/>
          <w:szCs w:val="22"/>
        </w:rPr>
        <w:t>Identificar, realizar o estudo de viabilidade econômico-financeiro, propor e estruturar alternativas de captação de recursos junto ao mercado de capitais brasileiro utilizando os fluxos financeiros do Município como lastro de operações de securitização ou como garantia de emissões de valores mobiliários de renda fixa pela SPDA, por sociedades de propósito específico constituída com esta finalidade ou pelo próprio Município.</w:t>
      </w:r>
    </w:p>
    <w:p w14:paraId="4F05A9BE"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274DC20E" w14:textId="77777777" w:rsidR="00813E66" w:rsidRPr="00813E66" w:rsidRDefault="00813E66" w:rsidP="00377573">
      <w:pPr>
        <w:pStyle w:val="PargrafodaLista"/>
        <w:numPr>
          <w:ilvl w:val="1"/>
          <w:numId w:val="6"/>
        </w:numPr>
        <w:autoSpaceDE w:val="0"/>
        <w:autoSpaceDN w:val="0"/>
        <w:adjustRightInd w:val="0"/>
        <w:spacing w:before="120" w:after="120" w:line="360" w:lineRule="auto"/>
        <w:ind w:left="0" w:firstLine="0"/>
        <w:contextualSpacing w:val="0"/>
        <w:rPr>
          <w:rFonts w:asciiTheme="minorHAnsi" w:hAnsiTheme="minorHAnsi"/>
          <w:b/>
          <w:sz w:val="22"/>
          <w:szCs w:val="22"/>
        </w:rPr>
      </w:pPr>
      <w:r w:rsidRPr="00813E66">
        <w:rPr>
          <w:rFonts w:asciiTheme="minorHAnsi" w:hAnsiTheme="minorHAnsi"/>
          <w:b/>
          <w:sz w:val="22"/>
          <w:szCs w:val="22"/>
        </w:rPr>
        <w:t>Desenvolver estruturas financeiras para maximizar o valor de ativos financeiros do Município.</w:t>
      </w:r>
    </w:p>
    <w:p w14:paraId="6D1A595E"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b/>
          <w:sz w:val="22"/>
          <w:szCs w:val="22"/>
        </w:rPr>
      </w:pPr>
    </w:p>
    <w:p w14:paraId="26E35387"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sidRPr="00813E66">
        <w:rPr>
          <w:rFonts w:asciiTheme="minorHAnsi" w:hAnsiTheme="minorHAnsi"/>
          <w:sz w:val="22"/>
          <w:szCs w:val="22"/>
        </w:rPr>
        <w:t>Identificar, analisar e propor soluções financeiras para (i) maximização do valor dos ativos financeiros do Município ou (</w:t>
      </w:r>
      <w:proofErr w:type="spellStart"/>
      <w:r w:rsidRPr="00813E66">
        <w:rPr>
          <w:rFonts w:asciiTheme="minorHAnsi" w:hAnsiTheme="minorHAnsi"/>
          <w:sz w:val="22"/>
          <w:szCs w:val="22"/>
        </w:rPr>
        <w:t>ii</w:t>
      </w:r>
      <w:proofErr w:type="spellEnd"/>
      <w:r w:rsidRPr="00813E66">
        <w:rPr>
          <w:rFonts w:asciiTheme="minorHAnsi" w:hAnsiTheme="minorHAnsi"/>
          <w:sz w:val="22"/>
          <w:szCs w:val="22"/>
        </w:rPr>
        <w:t>) geração de liquidez para estes ativos.</w:t>
      </w:r>
    </w:p>
    <w:p w14:paraId="7A081691"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23569F2E" w14:textId="77777777" w:rsidR="00813E66" w:rsidRPr="00813E66" w:rsidRDefault="00813E66" w:rsidP="00377573">
      <w:pPr>
        <w:pStyle w:val="PargrafodaLista"/>
        <w:numPr>
          <w:ilvl w:val="1"/>
          <w:numId w:val="6"/>
        </w:numPr>
        <w:autoSpaceDE w:val="0"/>
        <w:autoSpaceDN w:val="0"/>
        <w:adjustRightInd w:val="0"/>
        <w:spacing w:before="120" w:after="120" w:line="360" w:lineRule="auto"/>
        <w:ind w:left="0" w:firstLine="0"/>
        <w:contextualSpacing w:val="0"/>
        <w:rPr>
          <w:rFonts w:asciiTheme="minorHAnsi" w:hAnsiTheme="minorHAnsi"/>
          <w:b/>
          <w:sz w:val="22"/>
          <w:szCs w:val="22"/>
        </w:rPr>
      </w:pPr>
      <w:r w:rsidRPr="00813E66">
        <w:rPr>
          <w:rFonts w:asciiTheme="minorHAnsi" w:hAnsiTheme="minorHAnsi"/>
          <w:b/>
          <w:sz w:val="22"/>
          <w:szCs w:val="22"/>
        </w:rPr>
        <w:t>Desenvolver estruturas financeiras para reestruturação do passivo do Município.</w:t>
      </w:r>
    </w:p>
    <w:p w14:paraId="4D256DC5"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2FF0F20A"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sidRPr="00813E66">
        <w:rPr>
          <w:rFonts w:asciiTheme="minorHAnsi" w:hAnsiTheme="minorHAnsi"/>
          <w:sz w:val="22"/>
          <w:szCs w:val="22"/>
        </w:rPr>
        <w:t>Auxiliar a Secretaria de Fazenda no desenvolvimento de operações para reestruturação do passivo do Município.</w:t>
      </w:r>
    </w:p>
    <w:p w14:paraId="49822A72"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21A335D3" w14:textId="77777777" w:rsidR="00813E66" w:rsidRPr="00813E66" w:rsidRDefault="00813E66" w:rsidP="00377573">
      <w:pPr>
        <w:pStyle w:val="PargrafodaLista"/>
        <w:numPr>
          <w:ilvl w:val="1"/>
          <w:numId w:val="6"/>
        </w:numPr>
        <w:autoSpaceDE w:val="0"/>
        <w:autoSpaceDN w:val="0"/>
        <w:adjustRightInd w:val="0"/>
        <w:spacing w:before="120" w:after="120" w:line="360" w:lineRule="auto"/>
        <w:ind w:left="0" w:firstLine="0"/>
        <w:contextualSpacing w:val="0"/>
        <w:rPr>
          <w:rFonts w:asciiTheme="minorHAnsi" w:hAnsiTheme="minorHAnsi"/>
          <w:sz w:val="22"/>
          <w:szCs w:val="22"/>
        </w:rPr>
      </w:pPr>
      <w:r w:rsidRPr="00813E66">
        <w:rPr>
          <w:rFonts w:asciiTheme="minorHAnsi" w:hAnsiTheme="minorHAnsi"/>
          <w:b/>
          <w:sz w:val="22"/>
          <w:szCs w:val="22"/>
        </w:rPr>
        <w:lastRenderedPageBreak/>
        <w:t xml:space="preserve">Prestação de garantias reais ou fidejussórias nos projetos de </w:t>
      </w:r>
      <w:proofErr w:type="spellStart"/>
      <w:r w:rsidRPr="00813E66">
        <w:rPr>
          <w:rFonts w:asciiTheme="minorHAnsi" w:hAnsiTheme="minorHAnsi"/>
          <w:b/>
          <w:sz w:val="22"/>
          <w:szCs w:val="22"/>
        </w:rPr>
        <w:t>PPPs</w:t>
      </w:r>
      <w:proofErr w:type="spellEnd"/>
      <w:r w:rsidRPr="00813E66">
        <w:rPr>
          <w:rFonts w:asciiTheme="minorHAnsi" w:hAnsiTheme="minorHAnsi"/>
          <w:b/>
          <w:sz w:val="22"/>
          <w:szCs w:val="22"/>
        </w:rPr>
        <w:t xml:space="preserve"> municipais.</w:t>
      </w:r>
    </w:p>
    <w:p w14:paraId="0D54B466"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b/>
          <w:sz w:val="22"/>
          <w:szCs w:val="22"/>
        </w:rPr>
      </w:pPr>
    </w:p>
    <w:p w14:paraId="0599713E" w14:textId="644F008B"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sidRPr="00813E66">
        <w:rPr>
          <w:rFonts w:asciiTheme="minorHAnsi" w:hAnsiTheme="minorHAnsi"/>
          <w:sz w:val="22"/>
          <w:szCs w:val="22"/>
        </w:rPr>
        <w:t>Estruturação de soluções para oferecimento de garantia</w:t>
      </w:r>
      <w:r w:rsidR="00D100E6">
        <w:rPr>
          <w:rFonts w:asciiTheme="minorHAnsi" w:hAnsiTheme="minorHAnsi"/>
          <w:sz w:val="22"/>
          <w:szCs w:val="22"/>
        </w:rPr>
        <w:t>s</w:t>
      </w:r>
      <w:r w:rsidRPr="00813E66">
        <w:rPr>
          <w:rFonts w:asciiTheme="minorHAnsi" w:hAnsiTheme="minorHAnsi"/>
          <w:sz w:val="22"/>
          <w:szCs w:val="22"/>
        </w:rPr>
        <w:t xml:space="preserve"> reais ou fidejussórias para assegurar as obrigações pecuniárias assumidas pelo Município nos projetos de </w:t>
      </w:r>
      <w:proofErr w:type="spellStart"/>
      <w:r w:rsidRPr="00813E66">
        <w:rPr>
          <w:rFonts w:asciiTheme="minorHAnsi" w:hAnsiTheme="minorHAnsi"/>
          <w:sz w:val="22"/>
          <w:szCs w:val="22"/>
        </w:rPr>
        <w:t>PPPs</w:t>
      </w:r>
      <w:proofErr w:type="spellEnd"/>
      <w:r w:rsidRPr="00813E66">
        <w:rPr>
          <w:rFonts w:asciiTheme="minorHAnsi" w:hAnsiTheme="minorHAnsi"/>
          <w:sz w:val="22"/>
          <w:szCs w:val="22"/>
        </w:rPr>
        <w:t xml:space="preserve"> municipais.</w:t>
      </w:r>
    </w:p>
    <w:p w14:paraId="6A9A163C"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3453FD46" w14:textId="77777777" w:rsidR="00813E66" w:rsidRPr="00813E66" w:rsidRDefault="00813E66" w:rsidP="00377573">
      <w:pPr>
        <w:pStyle w:val="PargrafodaLista"/>
        <w:numPr>
          <w:ilvl w:val="1"/>
          <w:numId w:val="6"/>
        </w:numPr>
        <w:autoSpaceDE w:val="0"/>
        <w:autoSpaceDN w:val="0"/>
        <w:adjustRightInd w:val="0"/>
        <w:spacing w:before="120" w:after="120" w:line="360" w:lineRule="auto"/>
        <w:ind w:left="0" w:firstLine="0"/>
        <w:contextualSpacing w:val="0"/>
        <w:rPr>
          <w:rFonts w:asciiTheme="minorHAnsi" w:hAnsiTheme="minorHAnsi"/>
          <w:sz w:val="22"/>
          <w:szCs w:val="22"/>
        </w:rPr>
      </w:pPr>
      <w:r w:rsidRPr="00813E66">
        <w:rPr>
          <w:rFonts w:asciiTheme="minorHAnsi" w:hAnsiTheme="minorHAnsi"/>
          <w:b/>
          <w:sz w:val="22"/>
          <w:szCs w:val="22"/>
        </w:rPr>
        <w:t>Prestar serviços de consultoria e assessoria técnica especializada.</w:t>
      </w:r>
    </w:p>
    <w:p w14:paraId="15283B7A"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437E7104"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sidRPr="00813E66">
        <w:rPr>
          <w:rFonts w:asciiTheme="minorHAnsi" w:hAnsiTheme="minorHAnsi"/>
          <w:sz w:val="22"/>
          <w:szCs w:val="22"/>
        </w:rPr>
        <w:t xml:space="preserve">Prestação de serviços de consultoria e assessoria técnica especializada em operações financeiras sejam elas através da emissão de valores mobiliários no mercado de capitais brasileiro ou junto a instituições financeiras, organismos multilaterais, agências de </w:t>
      </w:r>
      <w:proofErr w:type="gramStart"/>
      <w:r w:rsidRPr="00813E66">
        <w:rPr>
          <w:rFonts w:asciiTheme="minorHAnsi" w:hAnsiTheme="minorHAnsi"/>
          <w:sz w:val="22"/>
          <w:szCs w:val="22"/>
        </w:rPr>
        <w:t>fomento, etc.</w:t>
      </w:r>
      <w:proofErr w:type="gramEnd"/>
      <w:r w:rsidRPr="00813E66">
        <w:rPr>
          <w:rFonts w:asciiTheme="minorHAnsi" w:hAnsiTheme="minorHAnsi"/>
          <w:sz w:val="22"/>
          <w:szCs w:val="22"/>
        </w:rPr>
        <w:t xml:space="preserve"> Estes serviços podem ser prestados a órgãos da administração direta, a empresas da administração indireta, sejam do Município de São Paulo ou de qualquer outro ente público ou privado.</w:t>
      </w:r>
    </w:p>
    <w:p w14:paraId="64C27B0C"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13F757F9" w14:textId="77777777" w:rsidR="00813E66" w:rsidRPr="00813E66" w:rsidRDefault="00813E66" w:rsidP="00377573">
      <w:pPr>
        <w:pStyle w:val="PargrafodaLista"/>
        <w:numPr>
          <w:ilvl w:val="1"/>
          <w:numId w:val="6"/>
        </w:numPr>
        <w:autoSpaceDE w:val="0"/>
        <w:autoSpaceDN w:val="0"/>
        <w:adjustRightInd w:val="0"/>
        <w:spacing w:before="120" w:after="120" w:line="360" w:lineRule="auto"/>
        <w:ind w:left="0" w:firstLine="0"/>
        <w:contextualSpacing w:val="0"/>
        <w:rPr>
          <w:rFonts w:asciiTheme="minorHAnsi" w:hAnsiTheme="minorHAnsi"/>
          <w:sz w:val="22"/>
          <w:szCs w:val="22"/>
        </w:rPr>
      </w:pPr>
      <w:r w:rsidRPr="00813E66">
        <w:rPr>
          <w:rFonts w:asciiTheme="minorHAnsi" w:hAnsiTheme="minorHAnsi"/>
          <w:b/>
          <w:sz w:val="22"/>
          <w:szCs w:val="22"/>
        </w:rPr>
        <w:t>Alcançar o equilíbrio econômico financeiro.</w:t>
      </w:r>
    </w:p>
    <w:p w14:paraId="12F6B26B" w14:textId="77777777"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1D2766E0" w14:textId="45D4B0A8" w:rsidR="00813E66" w:rsidRPr="00813E66" w:rsidRDefault="00813E66"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sidRPr="00813E66">
        <w:rPr>
          <w:rFonts w:asciiTheme="minorHAnsi" w:hAnsiTheme="minorHAnsi"/>
          <w:sz w:val="22"/>
          <w:szCs w:val="22"/>
        </w:rPr>
        <w:t xml:space="preserve">Buscar a sustentabilidade financeira da SPDA </w:t>
      </w:r>
      <w:r w:rsidR="00AE37C0">
        <w:rPr>
          <w:rFonts w:asciiTheme="minorHAnsi" w:hAnsiTheme="minorHAnsi"/>
          <w:sz w:val="22"/>
          <w:szCs w:val="22"/>
        </w:rPr>
        <w:t>por meio</w:t>
      </w:r>
      <w:r w:rsidRPr="00813E66">
        <w:rPr>
          <w:rFonts w:asciiTheme="minorHAnsi" w:hAnsiTheme="minorHAnsi"/>
          <w:sz w:val="22"/>
          <w:szCs w:val="22"/>
        </w:rPr>
        <w:t xml:space="preserve"> da impl</w:t>
      </w:r>
      <w:r w:rsidR="00CF507E">
        <w:rPr>
          <w:rFonts w:asciiTheme="minorHAnsi" w:hAnsiTheme="minorHAnsi"/>
          <w:sz w:val="22"/>
          <w:szCs w:val="22"/>
        </w:rPr>
        <w:t>a</w:t>
      </w:r>
      <w:r w:rsidRPr="00813E66">
        <w:rPr>
          <w:rFonts w:asciiTheme="minorHAnsi" w:hAnsiTheme="minorHAnsi"/>
          <w:sz w:val="22"/>
          <w:szCs w:val="22"/>
        </w:rPr>
        <w:t xml:space="preserve">ntação das estratégias e metas definidas </w:t>
      </w:r>
      <w:r w:rsidR="00CD1853">
        <w:rPr>
          <w:rFonts w:asciiTheme="minorHAnsi" w:hAnsiTheme="minorHAnsi"/>
          <w:sz w:val="22"/>
          <w:szCs w:val="22"/>
        </w:rPr>
        <w:t>no Compromisso de Desempenho Institucional da Companhia</w:t>
      </w:r>
      <w:r w:rsidRPr="00813E66">
        <w:rPr>
          <w:rFonts w:asciiTheme="minorHAnsi" w:hAnsiTheme="minorHAnsi"/>
          <w:sz w:val="22"/>
          <w:szCs w:val="22"/>
        </w:rPr>
        <w:t>.</w:t>
      </w:r>
    </w:p>
    <w:p w14:paraId="0BA2551A" w14:textId="4937BF02" w:rsidR="00CD1853" w:rsidRDefault="00E23828"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Pr>
          <w:rFonts w:asciiTheme="minorHAnsi" w:hAnsiTheme="minorHAnsi"/>
          <w:sz w:val="22"/>
          <w:szCs w:val="22"/>
        </w:rPr>
        <w:t xml:space="preserve">O </w:t>
      </w:r>
      <w:r w:rsidR="00CF507E" w:rsidRPr="00CF507E">
        <w:rPr>
          <w:rFonts w:asciiTheme="minorHAnsi" w:hAnsiTheme="minorHAnsi"/>
          <w:sz w:val="22"/>
          <w:szCs w:val="22"/>
        </w:rPr>
        <w:t>Anexo</w:t>
      </w:r>
      <w:r w:rsidR="00CF507E">
        <w:rPr>
          <w:rFonts w:asciiTheme="minorHAnsi" w:hAnsiTheme="minorHAnsi"/>
          <w:sz w:val="22"/>
          <w:szCs w:val="22"/>
        </w:rPr>
        <w:t xml:space="preserve"> I desta</w:t>
      </w:r>
      <w:r w:rsidR="00CF507E" w:rsidRPr="00CF507E">
        <w:rPr>
          <w:rFonts w:asciiTheme="minorHAnsi" w:hAnsiTheme="minorHAnsi"/>
          <w:sz w:val="22"/>
          <w:szCs w:val="22"/>
        </w:rPr>
        <w:t xml:space="preserve"> </w:t>
      </w:r>
      <w:r w:rsidR="00CF507E">
        <w:rPr>
          <w:rFonts w:asciiTheme="minorHAnsi" w:hAnsiTheme="minorHAnsi"/>
          <w:sz w:val="22"/>
          <w:szCs w:val="22"/>
        </w:rPr>
        <w:t xml:space="preserve">Carta, que corresponde ao </w:t>
      </w:r>
      <w:r w:rsidR="00CF507E" w:rsidRPr="00183BBB">
        <w:rPr>
          <w:rFonts w:asciiTheme="minorHAnsi" w:hAnsiTheme="minorHAnsi"/>
          <w:sz w:val="22"/>
          <w:szCs w:val="22"/>
        </w:rPr>
        <w:t xml:space="preserve">Anexo </w:t>
      </w:r>
      <w:r w:rsidRPr="00183BBB">
        <w:rPr>
          <w:rFonts w:asciiTheme="minorHAnsi" w:hAnsiTheme="minorHAnsi"/>
          <w:sz w:val="22"/>
          <w:szCs w:val="22"/>
        </w:rPr>
        <w:t>II-B do CDI</w:t>
      </w:r>
      <w:r w:rsidR="00183BBB">
        <w:rPr>
          <w:rFonts w:asciiTheme="minorHAnsi" w:hAnsiTheme="minorHAnsi"/>
          <w:sz w:val="22"/>
          <w:szCs w:val="22"/>
        </w:rPr>
        <w:t xml:space="preserve"> </w:t>
      </w:r>
      <w:r>
        <w:rPr>
          <w:rFonts w:asciiTheme="minorHAnsi" w:hAnsiTheme="minorHAnsi"/>
          <w:sz w:val="22"/>
          <w:szCs w:val="22"/>
        </w:rPr>
        <w:t xml:space="preserve">da Companhia </w:t>
      </w:r>
      <w:r w:rsidR="00CD1853">
        <w:rPr>
          <w:rFonts w:asciiTheme="minorHAnsi" w:hAnsiTheme="minorHAnsi"/>
          <w:sz w:val="22"/>
          <w:szCs w:val="22"/>
        </w:rPr>
        <w:t>indica as atividades em desenvolvimento pela Companhia</w:t>
      </w:r>
      <w:r>
        <w:rPr>
          <w:rFonts w:asciiTheme="minorHAnsi" w:hAnsiTheme="minorHAnsi"/>
          <w:sz w:val="22"/>
          <w:szCs w:val="22"/>
        </w:rPr>
        <w:t xml:space="preserve"> e os produtos esperados</w:t>
      </w:r>
      <w:r w:rsidR="00CD1853">
        <w:rPr>
          <w:rFonts w:asciiTheme="minorHAnsi" w:hAnsiTheme="minorHAnsi"/>
          <w:sz w:val="22"/>
          <w:szCs w:val="22"/>
        </w:rPr>
        <w:t>.</w:t>
      </w:r>
    </w:p>
    <w:p w14:paraId="6DA782FC" w14:textId="77777777" w:rsidR="00CD1853" w:rsidRDefault="00CD1853"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4E58F4C2" w14:textId="77777777" w:rsidR="004D5867" w:rsidRPr="004D5867" w:rsidRDefault="004D5867" w:rsidP="00377573">
      <w:pPr>
        <w:pStyle w:val="PargrafodaLista"/>
        <w:numPr>
          <w:ilvl w:val="0"/>
          <w:numId w:val="1"/>
        </w:numPr>
        <w:autoSpaceDE w:val="0"/>
        <w:autoSpaceDN w:val="0"/>
        <w:adjustRightInd w:val="0"/>
        <w:spacing w:before="120" w:after="120" w:line="360" w:lineRule="auto"/>
        <w:ind w:left="0" w:firstLine="0"/>
        <w:contextualSpacing w:val="0"/>
        <w:rPr>
          <w:rFonts w:asciiTheme="minorHAnsi" w:hAnsiTheme="minorHAnsi"/>
          <w:b/>
          <w:sz w:val="22"/>
          <w:szCs w:val="22"/>
        </w:rPr>
      </w:pPr>
      <w:r w:rsidRPr="004D5867">
        <w:rPr>
          <w:rFonts w:asciiTheme="minorHAnsi" w:hAnsiTheme="minorHAnsi"/>
          <w:b/>
          <w:sz w:val="22"/>
          <w:szCs w:val="22"/>
        </w:rPr>
        <w:t>ESTRUTURA DE CONTROLES INTERNOS E GERENCIAMENTO DE RISCO</w:t>
      </w:r>
    </w:p>
    <w:p w14:paraId="45B29004" w14:textId="77777777" w:rsidR="00D05BE0" w:rsidRDefault="00D05BE0" w:rsidP="00377573">
      <w:pPr>
        <w:pStyle w:val="Default"/>
        <w:spacing w:before="120" w:after="120" w:line="360" w:lineRule="auto"/>
        <w:jc w:val="both"/>
        <w:rPr>
          <w:rFonts w:asciiTheme="minorHAnsi" w:hAnsiTheme="minorHAnsi" w:cstheme="minorBidi"/>
          <w:color w:val="auto"/>
          <w:sz w:val="22"/>
          <w:szCs w:val="22"/>
          <w:highlight w:val="yellow"/>
        </w:rPr>
      </w:pPr>
    </w:p>
    <w:p w14:paraId="6E4BC59D" w14:textId="77777777" w:rsidR="006D7878" w:rsidRPr="006D7878" w:rsidRDefault="00F7090E" w:rsidP="00377573">
      <w:pPr>
        <w:pStyle w:val="Default"/>
        <w:spacing w:before="120" w:after="120"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Como estrutura de controle interno, a Companhia conta </w:t>
      </w:r>
      <w:r w:rsidR="00184353">
        <w:rPr>
          <w:rFonts w:asciiTheme="minorHAnsi" w:hAnsiTheme="minorHAnsi" w:cstheme="minorBidi"/>
          <w:color w:val="auto"/>
          <w:sz w:val="22"/>
          <w:szCs w:val="22"/>
        </w:rPr>
        <w:t>com seus órgãos estatutários de supervisão interna: (i) o Conselho de Administração, que exerce fiscalização sobre a Diretoria Executiva, por meio do controle de questões que envolvem o plano de negócios da companhia,</w:t>
      </w:r>
      <w:r w:rsidR="001C66C6">
        <w:rPr>
          <w:rFonts w:asciiTheme="minorHAnsi" w:hAnsiTheme="minorHAnsi" w:cstheme="minorBidi"/>
          <w:color w:val="auto"/>
          <w:sz w:val="22"/>
          <w:szCs w:val="22"/>
        </w:rPr>
        <w:t xml:space="preserve"> o controle dos riscos a que a Companhia está exposta e os limites financeiros de contratação pela Companhia; e (</w:t>
      </w:r>
      <w:proofErr w:type="spellStart"/>
      <w:r w:rsidR="001C66C6">
        <w:rPr>
          <w:rFonts w:asciiTheme="minorHAnsi" w:hAnsiTheme="minorHAnsi" w:cstheme="minorBidi"/>
          <w:color w:val="auto"/>
          <w:sz w:val="22"/>
          <w:szCs w:val="22"/>
        </w:rPr>
        <w:t>ii</w:t>
      </w:r>
      <w:proofErr w:type="spellEnd"/>
      <w:r w:rsidR="001C66C6">
        <w:rPr>
          <w:rFonts w:asciiTheme="minorHAnsi" w:hAnsiTheme="minorHAnsi" w:cstheme="minorBidi"/>
          <w:color w:val="auto"/>
          <w:sz w:val="22"/>
          <w:szCs w:val="22"/>
        </w:rPr>
        <w:t>)</w:t>
      </w:r>
      <w:r w:rsidR="00184353">
        <w:rPr>
          <w:rFonts w:asciiTheme="minorHAnsi" w:hAnsiTheme="minorHAnsi" w:cstheme="minorBidi"/>
          <w:color w:val="auto"/>
          <w:sz w:val="22"/>
          <w:szCs w:val="22"/>
        </w:rPr>
        <w:t xml:space="preserve"> Conselho Fiscal, </w:t>
      </w:r>
      <w:r w:rsidR="001C66C6">
        <w:rPr>
          <w:rFonts w:asciiTheme="minorHAnsi" w:hAnsiTheme="minorHAnsi" w:cstheme="minorBidi"/>
          <w:color w:val="auto"/>
          <w:sz w:val="22"/>
          <w:szCs w:val="22"/>
        </w:rPr>
        <w:t xml:space="preserve">que está instalado e funciona permanentemente. </w:t>
      </w:r>
      <w:r w:rsidR="006632F4">
        <w:rPr>
          <w:rFonts w:asciiTheme="minorHAnsi" w:hAnsiTheme="minorHAnsi" w:cstheme="minorBidi"/>
          <w:color w:val="auto"/>
          <w:sz w:val="22"/>
          <w:szCs w:val="22"/>
        </w:rPr>
        <w:t xml:space="preserve">A </w:t>
      </w:r>
      <w:r w:rsidR="006632F4">
        <w:rPr>
          <w:rFonts w:asciiTheme="minorHAnsi" w:hAnsiTheme="minorHAnsi" w:cstheme="minorBidi"/>
          <w:color w:val="auto"/>
          <w:sz w:val="22"/>
          <w:szCs w:val="22"/>
        </w:rPr>
        <w:lastRenderedPageBreak/>
        <w:t>funções do conselho fiscal</w:t>
      </w:r>
      <w:r w:rsidR="006632F4" w:rsidRPr="006632F4">
        <w:rPr>
          <w:rFonts w:asciiTheme="minorHAnsi" w:hAnsiTheme="minorHAnsi" w:cstheme="minorBidi"/>
          <w:color w:val="auto"/>
          <w:sz w:val="22"/>
          <w:szCs w:val="22"/>
        </w:rPr>
        <w:t xml:space="preserve"> abarcam aquelas do Comitê de Auditoria Independente – órgão necessariamente apartado em empresas estatais com receita operacional bruta superior a R$ 90.000.000,00 (noventa milhões de reais), o que não corresponde à realidade da Companhia.</w:t>
      </w:r>
      <w:r w:rsidR="006632F4">
        <w:rPr>
          <w:rFonts w:asciiTheme="minorHAnsi" w:hAnsiTheme="minorHAnsi" w:cstheme="minorBidi"/>
          <w:color w:val="auto"/>
          <w:sz w:val="22"/>
          <w:szCs w:val="22"/>
        </w:rPr>
        <w:t xml:space="preserve"> </w:t>
      </w:r>
      <w:r w:rsidR="001C66C6">
        <w:rPr>
          <w:rFonts w:asciiTheme="minorHAnsi" w:hAnsiTheme="minorHAnsi" w:cstheme="minorBidi"/>
          <w:color w:val="auto"/>
          <w:sz w:val="22"/>
          <w:szCs w:val="22"/>
        </w:rPr>
        <w:t>Ambos os órgãos</w:t>
      </w:r>
      <w:r w:rsidR="006632F4">
        <w:rPr>
          <w:rFonts w:asciiTheme="minorHAnsi" w:hAnsiTheme="minorHAnsi" w:cstheme="minorBidi"/>
          <w:color w:val="auto"/>
          <w:sz w:val="22"/>
          <w:szCs w:val="22"/>
        </w:rPr>
        <w:t xml:space="preserve"> (Conselhos de Administração e Fiscal)</w:t>
      </w:r>
      <w:r w:rsidR="001C66C6">
        <w:rPr>
          <w:rFonts w:asciiTheme="minorHAnsi" w:hAnsiTheme="minorHAnsi" w:cstheme="minorBidi"/>
          <w:color w:val="auto"/>
          <w:sz w:val="22"/>
          <w:szCs w:val="22"/>
        </w:rPr>
        <w:t xml:space="preserve"> t</w:t>
      </w:r>
      <w:r w:rsidR="003F1A35">
        <w:rPr>
          <w:rFonts w:asciiTheme="minorHAnsi" w:hAnsiTheme="minorHAnsi" w:cstheme="minorBidi"/>
          <w:color w:val="auto"/>
          <w:sz w:val="22"/>
          <w:szCs w:val="22"/>
        </w:rPr>
        <w:t xml:space="preserve">êm reuniões </w:t>
      </w:r>
      <w:r w:rsidR="00C3164B">
        <w:rPr>
          <w:rFonts w:asciiTheme="minorHAnsi" w:hAnsiTheme="minorHAnsi" w:cstheme="minorBidi"/>
          <w:color w:val="auto"/>
          <w:sz w:val="22"/>
          <w:szCs w:val="22"/>
        </w:rPr>
        <w:t>mensais</w:t>
      </w:r>
      <w:r w:rsidR="006D7878">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Ademais disto, como </w:t>
      </w:r>
      <w:r w:rsidR="006D7878">
        <w:rPr>
          <w:rFonts w:asciiTheme="minorHAnsi" w:hAnsiTheme="minorHAnsi" w:cstheme="minorBidi"/>
          <w:color w:val="auto"/>
          <w:sz w:val="22"/>
          <w:szCs w:val="22"/>
        </w:rPr>
        <w:t xml:space="preserve">empresa atuante no mercado de capitais, atende às regras da Comissão de Valores Mobiliários pertinentes a fim de garantir </w:t>
      </w:r>
      <w:r w:rsidR="00CD1853">
        <w:rPr>
          <w:rFonts w:asciiTheme="minorHAnsi" w:hAnsiTheme="minorHAnsi" w:cstheme="minorBidi"/>
          <w:color w:val="auto"/>
          <w:sz w:val="22"/>
          <w:szCs w:val="22"/>
        </w:rPr>
        <w:t>transparência</w:t>
      </w:r>
      <w:r w:rsidR="006D7878">
        <w:rPr>
          <w:rFonts w:asciiTheme="minorHAnsi" w:hAnsiTheme="minorHAnsi" w:cstheme="minorBidi"/>
          <w:color w:val="auto"/>
          <w:sz w:val="22"/>
          <w:szCs w:val="22"/>
        </w:rPr>
        <w:t xml:space="preserve">, sólidas práticas de governança, </w:t>
      </w:r>
      <w:r w:rsidR="00CD1853">
        <w:rPr>
          <w:rFonts w:asciiTheme="minorHAnsi" w:hAnsiTheme="minorHAnsi" w:cstheme="minorBidi"/>
          <w:color w:val="auto"/>
          <w:sz w:val="22"/>
          <w:szCs w:val="22"/>
        </w:rPr>
        <w:t>e evitar</w:t>
      </w:r>
      <w:r w:rsidR="006D7878">
        <w:rPr>
          <w:rFonts w:asciiTheme="minorHAnsi" w:hAnsiTheme="minorHAnsi" w:cstheme="minorBidi"/>
          <w:color w:val="auto"/>
          <w:sz w:val="22"/>
          <w:szCs w:val="22"/>
        </w:rPr>
        <w:t xml:space="preserve">, desta feita, riscos decorrentes de sua atuação. </w:t>
      </w:r>
      <w:r w:rsidR="00CD1853">
        <w:rPr>
          <w:rFonts w:asciiTheme="minorHAnsi" w:hAnsiTheme="minorHAnsi" w:cstheme="minorBidi"/>
          <w:color w:val="auto"/>
          <w:sz w:val="22"/>
          <w:szCs w:val="22"/>
        </w:rPr>
        <w:t>A Companhia t</w:t>
      </w:r>
      <w:r w:rsidR="006D7878">
        <w:rPr>
          <w:rFonts w:asciiTheme="minorHAnsi" w:hAnsiTheme="minorHAnsi" w:cstheme="minorBidi"/>
          <w:color w:val="auto"/>
          <w:sz w:val="22"/>
          <w:szCs w:val="22"/>
        </w:rPr>
        <w:t>ambém mantém as políticas obrigatórias indicadas na Lei nº 13.303, de 2016 e no Decreto Municipal nº 57.566, de 2017.</w:t>
      </w:r>
    </w:p>
    <w:p w14:paraId="6BE901E8" w14:textId="4C1E9CDF" w:rsidR="004D5867" w:rsidRPr="00CD1853" w:rsidRDefault="00CF507E" w:rsidP="00377573">
      <w:pPr>
        <w:pStyle w:val="PargrafodaLista"/>
        <w:autoSpaceDE w:val="0"/>
        <w:autoSpaceDN w:val="0"/>
        <w:adjustRightInd w:val="0"/>
        <w:spacing w:before="120" w:after="120" w:line="360" w:lineRule="auto"/>
        <w:ind w:left="0"/>
        <w:contextualSpacing w:val="0"/>
        <w:rPr>
          <w:rFonts w:asciiTheme="minorHAnsi" w:eastAsiaTheme="minorHAnsi" w:hAnsiTheme="minorHAnsi" w:cstheme="minorBidi"/>
          <w:sz w:val="22"/>
          <w:szCs w:val="22"/>
          <w:lang w:eastAsia="en-US"/>
        </w:rPr>
      </w:pPr>
      <w:r w:rsidRPr="00A73E91">
        <w:rPr>
          <w:rFonts w:asciiTheme="minorHAnsi" w:eastAsiaTheme="minorHAnsi" w:hAnsiTheme="minorHAnsi"/>
          <w:sz w:val="22"/>
        </w:rPr>
        <w:t>Em relação aos controles adotados pela empresa estatal para assegurar a elaboração de demonstrações financeiras confiáveis, consultar o item nº</w:t>
      </w:r>
      <w:r w:rsidRPr="00CF507E">
        <w:rPr>
          <w:rFonts w:asciiTheme="minorHAnsi" w:eastAsiaTheme="minorHAnsi" w:hAnsiTheme="minorHAnsi" w:cstheme="minorBidi"/>
          <w:sz w:val="22"/>
          <w:szCs w:val="22"/>
          <w:lang w:eastAsia="en-US"/>
        </w:rPr>
        <w:t xml:space="preserve"> </w:t>
      </w:r>
      <w:r w:rsidRPr="00A73E91">
        <w:rPr>
          <w:rFonts w:asciiTheme="minorHAnsi" w:eastAsiaTheme="minorHAnsi" w:hAnsiTheme="minorHAnsi"/>
          <w:sz w:val="22"/>
        </w:rPr>
        <w:t xml:space="preserve">3 das Notas explicativas às demonstrações contábeis referentes aos exercícios findos em 31 de dezembro de </w:t>
      </w:r>
      <w:r w:rsidRPr="00CF507E">
        <w:rPr>
          <w:rFonts w:asciiTheme="minorHAnsi" w:eastAsiaTheme="minorHAnsi" w:hAnsiTheme="minorHAnsi" w:cstheme="minorBidi"/>
          <w:sz w:val="22"/>
          <w:szCs w:val="22"/>
          <w:lang w:eastAsia="en-US"/>
        </w:rPr>
        <w:t>2018.</w:t>
      </w:r>
      <w:r>
        <w:rPr>
          <w:rFonts w:asciiTheme="minorHAnsi" w:eastAsiaTheme="minorHAnsi" w:hAnsiTheme="minorHAnsi" w:cstheme="minorBidi"/>
          <w:sz w:val="22"/>
          <w:szCs w:val="22"/>
          <w:lang w:eastAsia="en-US"/>
        </w:rPr>
        <w:t xml:space="preserve"> </w:t>
      </w:r>
    </w:p>
    <w:p w14:paraId="64FB1472" w14:textId="77777777" w:rsidR="00D05BE0" w:rsidRPr="001A6F1C" w:rsidRDefault="00D05BE0" w:rsidP="00377573">
      <w:pPr>
        <w:pStyle w:val="Default"/>
        <w:spacing w:before="120" w:after="120" w:line="360" w:lineRule="auto"/>
        <w:rPr>
          <w:highlight w:val="yellow"/>
        </w:rPr>
      </w:pPr>
    </w:p>
    <w:p w14:paraId="0F4C3A4D" w14:textId="77777777" w:rsidR="00445E31" w:rsidRPr="00445E31" w:rsidRDefault="00445E31" w:rsidP="00377573">
      <w:pPr>
        <w:pStyle w:val="PargrafodaLista"/>
        <w:numPr>
          <w:ilvl w:val="0"/>
          <w:numId w:val="1"/>
        </w:numPr>
        <w:autoSpaceDE w:val="0"/>
        <w:autoSpaceDN w:val="0"/>
        <w:adjustRightInd w:val="0"/>
        <w:spacing w:before="120" w:after="120" w:line="360" w:lineRule="auto"/>
        <w:ind w:left="0" w:firstLine="0"/>
        <w:contextualSpacing w:val="0"/>
        <w:rPr>
          <w:rFonts w:asciiTheme="minorHAnsi" w:hAnsiTheme="minorHAnsi"/>
          <w:b/>
          <w:sz w:val="22"/>
          <w:szCs w:val="22"/>
        </w:rPr>
      </w:pPr>
      <w:r w:rsidRPr="00445E31">
        <w:rPr>
          <w:rFonts w:asciiTheme="minorHAnsi" w:hAnsiTheme="minorHAnsi"/>
          <w:b/>
          <w:sz w:val="22"/>
          <w:szCs w:val="22"/>
        </w:rPr>
        <w:t>FATORES DE RISCO</w:t>
      </w:r>
    </w:p>
    <w:p w14:paraId="7A654A20" w14:textId="77777777" w:rsidR="00445E31" w:rsidRDefault="00445E31"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1AD9A9A2" w14:textId="77777777" w:rsidR="00445E31" w:rsidRPr="00A84D45" w:rsidRDefault="003C2996" w:rsidP="00377573">
      <w:pPr>
        <w:autoSpaceDE w:val="0"/>
        <w:autoSpaceDN w:val="0"/>
        <w:adjustRightInd w:val="0"/>
        <w:spacing w:before="120" w:after="120" w:line="360" w:lineRule="auto"/>
        <w:jc w:val="both"/>
        <w:rPr>
          <w:rFonts w:ascii="Calibri" w:hAnsi="Calibri" w:cs="Calibri"/>
          <w:b/>
          <w:bCs/>
        </w:rPr>
      </w:pPr>
      <w:r>
        <w:rPr>
          <w:rFonts w:ascii="Calibri" w:hAnsi="Calibri" w:cs="Calibri"/>
          <w:b/>
          <w:bCs/>
        </w:rPr>
        <w:t>a</w:t>
      </w:r>
      <w:r w:rsidR="00445E31" w:rsidRPr="00A84D45">
        <w:rPr>
          <w:rFonts w:ascii="Calibri" w:hAnsi="Calibri" w:cs="Calibri"/>
          <w:b/>
          <w:bCs/>
        </w:rPr>
        <w:t xml:space="preserve">. </w:t>
      </w:r>
      <w:r w:rsidR="00C3164B">
        <w:rPr>
          <w:rFonts w:ascii="Calibri" w:hAnsi="Calibri" w:cs="Calibri"/>
          <w:b/>
          <w:bCs/>
        </w:rPr>
        <w:t>F</w:t>
      </w:r>
      <w:r w:rsidR="00445E31" w:rsidRPr="00A84D45">
        <w:rPr>
          <w:rFonts w:ascii="Calibri" w:hAnsi="Calibri" w:cs="Calibri"/>
          <w:b/>
          <w:bCs/>
        </w:rPr>
        <w:t>ornecedores</w:t>
      </w:r>
    </w:p>
    <w:p w14:paraId="2B4D7702" w14:textId="77777777" w:rsidR="00445E31" w:rsidRPr="00A84D45" w:rsidRDefault="00445E31" w:rsidP="00377573">
      <w:pPr>
        <w:autoSpaceDE w:val="0"/>
        <w:autoSpaceDN w:val="0"/>
        <w:adjustRightInd w:val="0"/>
        <w:spacing w:before="120" w:after="120" w:line="360" w:lineRule="auto"/>
        <w:jc w:val="both"/>
        <w:rPr>
          <w:rFonts w:ascii="Calibri" w:hAnsi="Calibri" w:cs="Calibri"/>
          <w:b/>
          <w:bCs/>
        </w:rPr>
      </w:pPr>
    </w:p>
    <w:p w14:paraId="55DB4252" w14:textId="77777777" w:rsidR="00445E31" w:rsidRPr="00A84D45" w:rsidRDefault="00445E31" w:rsidP="00377573">
      <w:pPr>
        <w:autoSpaceDE w:val="0"/>
        <w:autoSpaceDN w:val="0"/>
        <w:adjustRightInd w:val="0"/>
        <w:spacing w:before="120" w:after="120" w:line="360" w:lineRule="auto"/>
        <w:jc w:val="both"/>
        <w:rPr>
          <w:rFonts w:ascii="Calibri" w:hAnsi="Calibri" w:cs="Calibri"/>
        </w:rPr>
      </w:pPr>
      <w:r w:rsidRPr="00EB6F27">
        <w:rPr>
          <w:rFonts w:ascii="Calibri" w:hAnsi="Calibri" w:cs="Calibri"/>
        </w:rPr>
        <w:t>A Companhia utiliza-se de alguns serviços de terceiros, com destaque aos relacionados a</w:t>
      </w:r>
      <w:r>
        <w:rPr>
          <w:rFonts w:ascii="Calibri" w:hAnsi="Calibri" w:cs="Calibri"/>
        </w:rPr>
        <w:t xml:space="preserve"> </w:t>
      </w:r>
      <w:r w:rsidRPr="00EB6F27">
        <w:rPr>
          <w:rFonts w:ascii="Calibri" w:hAnsi="Calibri" w:cs="Calibri"/>
        </w:rPr>
        <w:t>contabilidade</w:t>
      </w:r>
      <w:r w:rsidR="003C2996">
        <w:rPr>
          <w:rFonts w:ascii="Calibri" w:hAnsi="Calibri" w:cs="Calibri"/>
        </w:rPr>
        <w:t xml:space="preserve"> e</w:t>
      </w:r>
      <w:r w:rsidRPr="00EB6F27">
        <w:rPr>
          <w:rFonts w:ascii="Calibri" w:hAnsi="Calibri" w:cs="Calibri"/>
        </w:rPr>
        <w:t xml:space="preserve"> auditoria externa, estando sujeita a</w:t>
      </w:r>
      <w:r>
        <w:rPr>
          <w:rFonts w:ascii="Calibri" w:hAnsi="Calibri" w:cs="Calibri"/>
        </w:rPr>
        <w:t xml:space="preserve"> </w:t>
      </w:r>
      <w:r w:rsidRPr="00EB6F27">
        <w:rPr>
          <w:rFonts w:ascii="Calibri" w:hAnsi="Calibri" w:cs="Calibri"/>
        </w:rPr>
        <w:t>efeitos adversos sobre as suas atividades no caso de eventuais interrupções de fornecimento dos</w:t>
      </w:r>
      <w:r>
        <w:rPr>
          <w:rFonts w:ascii="Calibri" w:hAnsi="Calibri" w:cs="Calibri"/>
        </w:rPr>
        <w:t xml:space="preserve"> </w:t>
      </w:r>
      <w:r w:rsidRPr="00EB6F27">
        <w:rPr>
          <w:rFonts w:ascii="Calibri" w:hAnsi="Calibri" w:cs="Calibri"/>
        </w:rPr>
        <w:t>serviços contratados.</w:t>
      </w:r>
      <w:r w:rsidRPr="00EB6F27">
        <w:rPr>
          <w:rFonts w:ascii="Calibri" w:hAnsi="Calibri" w:cs="Calibri"/>
        </w:rPr>
        <w:cr/>
      </w:r>
    </w:p>
    <w:p w14:paraId="578C1F47" w14:textId="77777777" w:rsidR="00445E31" w:rsidRPr="00A84D45" w:rsidRDefault="00D95A8D" w:rsidP="00377573">
      <w:pPr>
        <w:pStyle w:val="EDP-TEXTONORMAL"/>
        <w:spacing w:before="120" w:after="120" w:line="360" w:lineRule="auto"/>
        <w:rPr>
          <w:rFonts w:ascii="Calibri" w:hAnsi="Calibri" w:cs="Calibri"/>
          <w:b/>
          <w:sz w:val="22"/>
          <w:szCs w:val="22"/>
        </w:rPr>
      </w:pPr>
      <w:r>
        <w:rPr>
          <w:rFonts w:ascii="Calibri" w:hAnsi="Calibri" w:cs="Calibri"/>
          <w:b/>
          <w:sz w:val="22"/>
          <w:szCs w:val="22"/>
        </w:rPr>
        <w:t>b</w:t>
      </w:r>
      <w:r w:rsidR="00445E31" w:rsidRPr="00A84D45">
        <w:rPr>
          <w:rFonts w:ascii="Calibri" w:hAnsi="Calibri" w:cs="Calibri"/>
          <w:b/>
          <w:sz w:val="22"/>
          <w:szCs w:val="22"/>
        </w:rPr>
        <w:t xml:space="preserve">. </w:t>
      </w:r>
      <w:r w:rsidR="00C3164B">
        <w:rPr>
          <w:rFonts w:ascii="Calibri" w:hAnsi="Calibri" w:cs="Calibri"/>
          <w:b/>
          <w:sz w:val="22"/>
          <w:szCs w:val="22"/>
        </w:rPr>
        <w:t>C</w:t>
      </w:r>
      <w:r w:rsidR="00445E31" w:rsidRPr="00A84D45">
        <w:rPr>
          <w:rFonts w:ascii="Calibri" w:hAnsi="Calibri" w:cs="Calibri"/>
          <w:b/>
          <w:sz w:val="22"/>
          <w:szCs w:val="22"/>
        </w:rPr>
        <w:t>lientes</w:t>
      </w:r>
    </w:p>
    <w:p w14:paraId="3598B851" w14:textId="77777777" w:rsidR="00445E31" w:rsidRDefault="00445E31" w:rsidP="00377573">
      <w:pPr>
        <w:autoSpaceDE w:val="0"/>
        <w:autoSpaceDN w:val="0"/>
        <w:adjustRightInd w:val="0"/>
        <w:spacing w:before="120" w:after="120" w:line="360" w:lineRule="auto"/>
        <w:jc w:val="both"/>
        <w:rPr>
          <w:rFonts w:ascii="Calibri" w:hAnsi="Calibri" w:cs="Calibri"/>
        </w:rPr>
      </w:pPr>
    </w:p>
    <w:p w14:paraId="3EE3C6E1" w14:textId="77777777" w:rsidR="00445E31" w:rsidRPr="00F157AF" w:rsidRDefault="00445E31" w:rsidP="00377573">
      <w:pPr>
        <w:autoSpaceDE w:val="0"/>
        <w:autoSpaceDN w:val="0"/>
        <w:adjustRightInd w:val="0"/>
        <w:spacing w:before="120" w:after="120" w:line="360" w:lineRule="auto"/>
        <w:jc w:val="both"/>
        <w:rPr>
          <w:rFonts w:ascii="Calibri" w:hAnsi="Calibri"/>
          <w:b/>
          <w:i/>
        </w:rPr>
      </w:pPr>
      <w:r w:rsidRPr="00A84D45">
        <w:rPr>
          <w:rFonts w:ascii="Calibri" w:hAnsi="Calibri" w:cs="Calibri"/>
        </w:rPr>
        <w:t xml:space="preserve">A </w:t>
      </w:r>
      <w:r w:rsidR="003C2996">
        <w:rPr>
          <w:rFonts w:ascii="Calibri" w:hAnsi="Calibri" w:cs="Calibri"/>
        </w:rPr>
        <w:t>SPDA possui apenas o Município de São Paulo como cliente</w:t>
      </w:r>
      <w:r w:rsidR="006632F4">
        <w:rPr>
          <w:rStyle w:val="Refdenotaderodap"/>
          <w:rFonts w:ascii="Calibri" w:hAnsi="Calibri" w:cs="Calibri"/>
        </w:rPr>
        <w:footnoteReference w:id="2"/>
      </w:r>
      <w:r w:rsidR="003C2996">
        <w:rPr>
          <w:rFonts w:ascii="Calibri" w:hAnsi="Calibri" w:cs="Calibri"/>
        </w:rPr>
        <w:t>. Sendo o Município</w:t>
      </w:r>
      <w:r w:rsidR="00D95A8D">
        <w:rPr>
          <w:rFonts w:ascii="Calibri" w:hAnsi="Calibri" w:cs="Calibri"/>
        </w:rPr>
        <w:t xml:space="preserve"> seu</w:t>
      </w:r>
      <w:r w:rsidR="003C2996">
        <w:rPr>
          <w:rFonts w:ascii="Calibri" w:hAnsi="Calibri" w:cs="Calibri"/>
        </w:rPr>
        <w:t xml:space="preserve"> controlador, trata-se de relação entre partes relacionadas</w:t>
      </w:r>
      <w:r w:rsidRPr="00A84D45">
        <w:rPr>
          <w:rFonts w:ascii="Calibri" w:hAnsi="Calibri" w:cs="Calibri"/>
        </w:rPr>
        <w:t>.</w:t>
      </w:r>
      <w:r w:rsidR="00AE37C0">
        <w:rPr>
          <w:rFonts w:ascii="Calibri" w:hAnsi="Calibri" w:cs="Calibri"/>
        </w:rPr>
        <w:t xml:space="preserve"> O controle dos</w:t>
      </w:r>
      <w:r w:rsidR="003C2996">
        <w:rPr>
          <w:rFonts w:ascii="Calibri" w:hAnsi="Calibri" w:cs="Calibri"/>
        </w:rPr>
        <w:t xml:space="preserve"> riscos envolvi</w:t>
      </w:r>
      <w:r w:rsidR="00AE37C0">
        <w:rPr>
          <w:rFonts w:ascii="Calibri" w:hAnsi="Calibri" w:cs="Calibri"/>
        </w:rPr>
        <w:t xml:space="preserve">dos </w:t>
      </w:r>
      <w:r w:rsidR="00AE37C0">
        <w:rPr>
          <w:rFonts w:ascii="Calibri" w:hAnsi="Calibri" w:cs="Calibri"/>
        </w:rPr>
        <w:lastRenderedPageBreak/>
        <w:t>nesse tipo de transação está</w:t>
      </w:r>
      <w:r w:rsidR="003C2996">
        <w:rPr>
          <w:rFonts w:ascii="Calibri" w:hAnsi="Calibri" w:cs="Calibri"/>
        </w:rPr>
        <w:t xml:space="preserve"> endereçado na Política para Transações entre Partes Relacionadas.</w:t>
      </w:r>
    </w:p>
    <w:p w14:paraId="43517C35" w14:textId="77777777" w:rsidR="00445E31" w:rsidRPr="00AE37C0" w:rsidRDefault="00445E31" w:rsidP="00377573">
      <w:pPr>
        <w:autoSpaceDE w:val="0"/>
        <w:autoSpaceDN w:val="0"/>
        <w:adjustRightInd w:val="0"/>
        <w:spacing w:before="120" w:after="120" w:line="360" w:lineRule="auto"/>
        <w:jc w:val="both"/>
        <w:rPr>
          <w:rFonts w:ascii="Calibri" w:hAnsi="Calibri" w:cs="Calibri"/>
        </w:rPr>
      </w:pPr>
    </w:p>
    <w:p w14:paraId="2816C842" w14:textId="77777777" w:rsidR="00445E31" w:rsidRPr="00A84D45" w:rsidRDefault="00D95A8D" w:rsidP="00377573">
      <w:pPr>
        <w:autoSpaceDE w:val="0"/>
        <w:autoSpaceDN w:val="0"/>
        <w:adjustRightInd w:val="0"/>
        <w:spacing w:before="120" w:after="120" w:line="360" w:lineRule="auto"/>
        <w:jc w:val="both"/>
        <w:rPr>
          <w:rFonts w:ascii="Calibri" w:hAnsi="Calibri" w:cs="Calibri"/>
          <w:b/>
        </w:rPr>
      </w:pPr>
      <w:r>
        <w:rPr>
          <w:rFonts w:ascii="Calibri" w:hAnsi="Calibri" w:cs="Calibri"/>
          <w:b/>
        </w:rPr>
        <w:t>c</w:t>
      </w:r>
      <w:r w:rsidR="00445E31" w:rsidRPr="00A84D45">
        <w:rPr>
          <w:rFonts w:ascii="Calibri" w:hAnsi="Calibri" w:cs="Calibri"/>
          <w:b/>
        </w:rPr>
        <w:t xml:space="preserve">. </w:t>
      </w:r>
      <w:r w:rsidR="00C3164B">
        <w:rPr>
          <w:rFonts w:ascii="Calibri" w:hAnsi="Calibri" w:cs="Calibri"/>
          <w:b/>
        </w:rPr>
        <w:t>S</w:t>
      </w:r>
      <w:r w:rsidR="00445E31" w:rsidRPr="00A84D45">
        <w:rPr>
          <w:rFonts w:ascii="Calibri" w:hAnsi="Calibri" w:cs="Calibri"/>
          <w:b/>
        </w:rPr>
        <w:t xml:space="preserve">etores na </w:t>
      </w:r>
      <w:r w:rsidR="00C3164B">
        <w:rPr>
          <w:rFonts w:ascii="Calibri" w:hAnsi="Calibri" w:cs="Calibri"/>
          <w:b/>
        </w:rPr>
        <w:t>E</w:t>
      </w:r>
      <w:r w:rsidR="00445E31" w:rsidRPr="00A84D45">
        <w:rPr>
          <w:rFonts w:ascii="Calibri" w:hAnsi="Calibri" w:cs="Calibri"/>
          <w:b/>
        </w:rPr>
        <w:t xml:space="preserve">conomia </w:t>
      </w:r>
      <w:r w:rsidR="00C3164B">
        <w:rPr>
          <w:rFonts w:ascii="Calibri" w:hAnsi="Calibri" w:cs="Calibri"/>
          <w:b/>
        </w:rPr>
        <w:t>n</w:t>
      </w:r>
      <w:r w:rsidR="00445E31" w:rsidRPr="00A84D45">
        <w:rPr>
          <w:rFonts w:ascii="Calibri" w:hAnsi="Calibri" w:cs="Calibri"/>
          <w:b/>
        </w:rPr>
        <w:t xml:space="preserve">os </w:t>
      </w:r>
      <w:r w:rsidR="00C3164B">
        <w:rPr>
          <w:rFonts w:ascii="Calibri" w:hAnsi="Calibri" w:cs="Calibri"/>
          <w:b/>
        </w:rPr>
        <w:t>q</w:t>
      </w:r>
      <w:r w:rsidR="00445E31" w:rsidRPr="00A84D45">
        <w:rPr>
          <w:rFonts w:ascii="Calibri" w:hAnsi="Calibri" w:cs="Calibri"/>
          <w:b/>
        </w:rPr>
        <w:t xml:space="preserve">uais o </w:t>
      </w:r>
      <w:r w:rsidR="00C3164B">
        <w:rPr>
          <w:rFonts w:ascii="Calibri" w:hAnsi="Calibri" w:cs="Calibri"/>
          <w:b/>
        </w:rPr>
        <w:t>E</w:t>
      </w:r>
      <w:r w:rsidR="00445E31" w:rsidRPr="00A84D45">
        <w:rPr>
          <w:rFonts w:ascii="Calibri" w:hAnsi="Calibri" w:cs="Calibri"/>
          <w:b/>
        </w:rPr>
        <w:t xml:space="preserve">missor </w:t>
      </w:r>
      <w:r w:rsidR="00C3164B">
        <w:rPr>
          <w:rFonts w:ascii="Calibri" w:hAnsi="Calibri" w:cs="Calibri"/>
          <w:b/>
        </w:rPr>
        <w:t>A</w:t>
      </w:r>
      <w:r w:rsidR="00445E31" w:rsidRPr="00A84D45">
        <w:rPr>
          <w:rFonts w:ascii="Calibri" w:hAnsi="Calibri" w:cs="Calibri"/>
          <w:b/>
        </w:rPr>
        <w:t>tue</w:t>
      </w:r>
    </w:p>
    <w:p w14:paraId="0D0D5F00" w14:textId="77777777" w:rsidR="00445E31" w:rsidRPr="00AE37C0" w:rsidRDefault="00445E31" w:rsidP="00377573">
      <w:pPr>
        <w:autoSpaceDE w:val="0"/>
        <w:autoSpaceDN w:val="0"/>
        <w:adjustRightInd w:val="0"/>
        <w:spacing w:before="120" w:after="120" w:line="360" w:lineRule="auto"/>
        <w:jc w:val="both"/>
        <w:rPr>
          <w:rFonts w:ascii="Calibri" w:hAnsi="Calibri" w:cs="Calibri"/>
        </w:rPr>
      </w:pPr>
    </w:p>
    <w:p w14:paraId="5502405E" w14:textId="77777777" w:rsidR="00445E31" w:rsidRDefault="00445E31" w:rsidP="00377573">
      <w:pPr>
        <w:autoSpaceDE w:val="0"/>
        <w:autoSpaceDN w:val="0"/>
        <w:adjustRightInd w:val="0"/>
        <w:spacing w:before="120" w:after="120" w:line="360" w:lineRule="auto"/>
        <w:jc w:val="both"/>
        <w:rPr>
          <w:rFonts w:ascii="Calibri" w:hAnsi="Calibri" w:cs="Calibri"/>
          <w:b/>
          <w:i/>
        </w:rPr>
      </w:pPr>
      <w:r>
        <w:rPr>
          <w:rFonts w:ascii="Calibri" w:hAnsi="Calibri" w:cs="Calibri"/>
        </w:rPr>
        <w:t xml:space="preserve">A </w:t>
      </w:r>
      <w:r w:rsidR="003C2996">
        <w:rPr>
          <w:rFonts w:ascii="Calibri" w:hAnsi="Calibri" w:cs="Calibri"/>
        </w:rPr>
        <w:t xml:space="preserve">SPDA </w:t>
      </w:r>
      <w:r>
        <w:rPr>
          <w:rFonts w:ascii="Calibri" w:hAnsi="Calibri" w:cs="Calibri"/>
        </w:rPr>
        <w:t>é uma sociedade que atua</w:t>
      </w:r>
      <w:r w:rsidR="00DE34D3">
        <w:rPr>
          <w:rFonts w:ascii="Calibri" w:hAnsi="Calibri" w:cs="Calibri"/>
        </w:rPr>
        <w:t xml:space="preserve"> na mobilização de ativos do Município, inclusive por meio de emissões em mercado de capitais</w:t>
      </w:r>
      <w:r>
        <w:rPr>
          <w:rFonts w:ascii="Calibri" w:hAnsi="Calibri" w:cs="Calibri"/>
        </w:rPr>
        <w:t>. Eventuais flutuações nas taxas de juros e alterações na política econômica brasileira poderão influenciar nas atividades da Companhia</w:t>
      </w:r>
      <w:r w:rsidRPr="003778D2">
        <w:rPr>
          <w:rFonts w:ascii="Calibri" w:hAnsi="Calibri" w:cs="Calibri"/>
          <w:i/>
        </w:rPr>
        <w:t>.</w:t>
      </w:r>
    </w:p>
    <w:p w14:paraId="526C26EC" w14:textId="77777777" w:rsidR="00445E31" w:rsidRDefault="00445E31" w:rsidP="00377573">
      <w:pPr>
        <w:autoSpaceDE w:val="0"/>
        <w:autoSpaceDN w:val="0"/>
        <w:adjustRightInd w:val="0"/>
        <w:spacing w:before="120" w:after="120" w:line="360" w:lineRule="auto"/>
        <w:jc w:val="both"/>
        <w:rPr>
          <w:rFonts w:ascii="Calibri" w:hAnsi="Calibri" w:cs="Calibri"/>
        </w:rPr>
      </w:pPr>
      <w:r>
        <w:rPr>
          <w:rFonts w:ascii="Calibri" w:hAnsi="Calibri" w:cs="Calibri"/>
        </w:rPr>
        <w:t>A alteração, pelo Governo Federal, nas políticas ou normas econômicas, pode vir a tornar maior a incerteza econômica no Brasil e aumentar a volatilidade do mercado de valores mobiliários o que poderá afetar adversamente os negócios e resultados operacionais da SP</w:t>
      </w:r>
      <w:r w:rsidR="003C2996">
        <w:rPr>
          <w:rFonts w:ascii="Calibri" w:hAnsi="Calibri" w:cs="Calibri"/>
        </w:rPr>
        <w:t>DA</w:t>
      </w:r>
      <w:r>
        <w:rPr>
          <w:rFonts w:ascii="Calibri" w:hAnsi="Calibri" w:cs="Calibri"/>
        </w:rPr>
        <w:t>.</w:t>
      </w:r>
    </w:p>
    <w:p w14:paraId="1A1DFE3C" w14:textId="1F747BCC" w:rsidR="00445E31" w:rsidRDefault="00445E31" w:rsidP="00377573">
      <w:pPr>
        <w:autoSpaceDE w:val="0"/>
        <w:autoSpaceDN w:val="0"/>
        <w:adjustRightInd w:val="0"/>
        <w:spacing w:before="120" w:after="120" w:line="360" w:lineRule="auto"/>
        <w:jc w:val="both"/>
        <w:rPr>
          <w:rFonts w:ascii="Calibri" w:hAnsi="Calibri" w:cs="Calibri"/>
          <w:b/>
          <w:i/>
        </w:rPr>
      </w:pPr>
      <w:r>
        <w:rPr>
          <w:rFonts w:ascii="Calibri" w:hAnsi="Calibri" w:cs="Calibri"/>
        </w:rPr>
        <w:t>Fatos extraordinários ou situações especiais no mercado de valores mobiliários do Brasil ou do exterior, ou ainda, eventos de natureza política, econômica ou financeira, incluindo, mas não se limitando a (i) mudanças drásticas e repentinas na política econômica e monetária do Governo Federal; (</w:t>
      </w:r>
      <w:proofErr w:type="spellStart"/>
      <w:r>
        <w:rPr>
          <w:rFonts w:ascii="Calibri" w:hAnsi="Calibri" w:cs="Calibri"/>
        </w:rPr>
        <w:t>ii</w:t>
      </w:r>
      <w:proofErr w:type="spellEnd"/>
      <w:r>
        <w:rPr>
          <w:rFonts w:ascii="Calibri" w:hAnsi="Calibri" w:cs="Calibri"/>
        </w:rPr>
        <w:t>) introdução de medidas para controlar a inflação; (</w:t>
      </w:r>
      <w:proofErr w:type="spellStart"/>
      <w:r>
        <w:rPr>
          <w:rFonts w:ascii="Calibri" w:hAnsi="Calibri" w:cs="Calibri"/>
        </w:rPr>
        <w:t>iii</w:t>
      </w:r>
      <w:proofErr w:type="spellEnd"/>
      <w:r>
        <w:rPr>
          <w:rFonts w:ascii="Calibri" w:hAnsi="Calibri" w:cs="Calibri"/>
        </w:rPr>
        <w:t>) variações nas taxas de juros; e (</w:t>
      </w:r>
      <w:proofErr w:type="spellStart"/>
      <w:r>
        <w:rPr>
          <w:rFonts w:ascii="Calibri" w:hAnsi="Calibri" w:cs="Calibri"/>
        </w:rPr>
        <w:t>iv</w:t>
      </w:r>
      <w:proofErr w:type="spellEnd"/>
      <w:r>
        <w:rPr>
          <w:rFonts w:ascii="Calibri" w:hAnsi="Calibri" w:cs="Calibri"/>
        </w:rPr>
        <w:t>) eventos de valorização ou desvalorização da moeda poderão ocasionar grandes mudanças no cenários macroeconômico, as quais poderão causar a desaceleração na atividade econômica do Brasil e, assim, afetar negativamente a qualidade dos créditos que venham a ser cedidos pelo Município de São Paulo.</w:t>
      </w:r>
    </w:p>
    <w:p w14:paraId="0BAEF6C0" w14:textId="77777777" w:rsidR="00445E31" w:rsidRPr="00CE34E8" w:rsidRDefault="00445E31" w:rsidP="00377573">
      <w:pPr>
        <w:autoSpaceDE w:val="0"/>
        <w:autoSpaceDN w:val="0"/>
        <w:adjustRightInd w:val="0"/>
        <w:spacing w:before="120" w:after="120" w:line="360" w:lineRule="auto"/>
        <w:jc w:val="both"/>
        <w:rPr>
          <w:rFonts w:ascii="Calibri" w:hAnsi="Calibri" w:cs="Calibri"/>
        </w:rPr>
      </w:pPr>
    </w:p>
    <w:p w14:paraId="523CEB02" w14:textId="77777777" w:rsidR="00445E31" w:rsidRPr="00A84D45" w:rsidRDefault="00D95A8D" w:rsidP="00377573">
      <w:pPr>
        <w:autoSpaceDE w:val="0"/>
        <w:autoSpaceDN w:val="0"/>
        <w:adjustRightInd w:val="0"/>
        <w:spacing w:before="120" w:after="120" w:line="360" w:lineRule="auto"/>
        <w:jc w:val="both"/>
        <w:rPr>
          <w:rFonts w:ascii="Calibri" w:hAnsi="Calibri" w:cs="Calibri"/>
          <w:b/>
        </w:rPr>
      </w:pPr>
      <w:r>
        <w:rPr>
          <w:rFonts w:ascii="Calibri" w:hAnsi="Calibri" w:cs="Calibri"/>
          <w:b/>
        </w:rPr>
        <w:t>d</w:t>
      </w:r>
      <w:r w:rsidR="00445E31" w:rsidRPr="00A84D45">
        <w:rPr>
          <w:rFonts w:ascii="Calibri" w:hAnsi="Calibri" w:cs="Calibri"/>
          <w:b/>
        </w:rPr>
        <w:t xml:space="preserve">. </w:t>
      </w:r>
      <w:r w:rsidR="00C3164B">
        <w:rPr>
          <w:rFonts w:ascii="Calibri" w:hAnsi="Calibri" w:cs="Calibri"/>
          <w:b/>
        </w:rPr>
        <w:t>R</w:t>
      </w:r>
      <w:r w:rsidR="00445E31" w:rsidRPr="00A84D45">
        <w:rPr>
          <w:rFonts w:ascii="Calibri" w:hAnsi="Calibri" w:cs="Calibri"/>
          <w:b/>
        </w:rPr>
        <w:t xml:space="preserve">egulação dos </w:t>
      </w:r>
      <w:r w:rsidR="00C3164B">
        <w:rPr>
          <w:rFonts w:ascii="Calibri" w:hAnsi="Calibri" w:cs="Calibri"/>
          <w:b/>
        </w:rPr>
        <w:t>S</w:t>
      </w:r>
      <w:r w:rsidR="00445E31" w:rsidRPr="00A84D45">
        <w:rPr>
          <w:rFonts w:ascii="Calibri" w:hAnsi="Calibri" w:cs="Calibri"/>
          <w:b/>
        </w:rPr>
        <w:t xml:space="preserve">etores que o </w:t>
      </w:r>
      <w:r w:rsidR="00C3164B">
        <w:rPr>
          <w:rFonts w:ascii="Calibri" w:hAnsi="Calibri" w:cs="Calibri"/>
          <w:b/>
        </w:rPr>
        <w:t>E</w:t>
      </w:r>
      <w:r w:rsidR="00445E31" w:rsidRPr="00A84D45">
        <w:rPr>
          <w:rFonts w:ascii="Calibri" w:hAnsi="Calibri" w:cs="Calibri"/>
          <w:b/>
        </w:rPr>
        <w:t xml:space="preserve">missor </w:t>
      </w:r>
      <w:r w:rsidR="00C3164B">
        <w:rPr>
          <w:rFonts w:ascii="Calibri" w:hAnsi="Calibri" w:cs="Calibri"/>
          <w:b/>
        </w:rPr>
        <w:t>A</w:t>
      </w:r>
      <w:r w:rsidR="00445E31" w:rsidRPr="00A84D45">
        <w:rPr>
          <w:rFonts w:ascii="Calibri" w:hAnsi="Calibri" w:cs="Calibri"/>
          <w:b/>
        </w:rPr>
        <w:t>tue</w:t>
      </w:r>
    </w:p>
    <w:p w14:paraId="06107B9B" w14:textId="77777777" w:rsidR="00445E31" w:rsidRPr="00CE34E8" w:rsidRDefault="00445E31" w:rsidP="00377573">
      <w:pPr>
        <w:autoSpaceDE w:val="0"/>
        <w:autoSpaceDN w:val="0"/>
        <w:adjustRightInd w:val="0"/>
        <w:spacing w:before="120" w:after="120" w:line="360" w:lineRule="auto"/>
        <w:jc w:val="both"/>
        <w:rPr>
          <w:rFonts w:ascii="Calibri" w:hAnsi="Calibri" w:cs="Calibri"/>
        </w:rPr>
      </w:pPr>
    </w:p>
    <w:p w14:paraId="41628E8C" w14:textId="77777777" w:rsidR="00445E31" w:rsidRPr="00824AD9" w:rsidRDefault="00445E31" w:rsidP="00377573">
      <w:pPr>
        <w:autoSpaceDE w:val="0"/>
        <w:autoSpaceDN w:val="0"/>
        <w:adjustRightInd w:val="0"/>
        <w:spacing w:before="120" w:after="120" w:line="360" w:lineRule="auto"/>
        <w:jc w:val="both"/>
        <w:rPr>
          <w:rFonts w:ascii="Calibri" w:hAnsi="Calibri" w:cs="Calibri"/>
          <w:b/>
        </w:rPr>
      </w:pPr>
      <w:r w:rsidRPr="00824AD9">
        <w:rPr>
          <w:rFonts w:ascii="Calibri" w:hAnsi="Calibri" w:cs="Calibri"/>
          <w:b/>
        </w:rPr>
        <w:t xml:space="preserve">Sujeição da Companhia a </w:t>
      </w:r>
      <w:r w:rsidR="00C3164B">
        <w:rPr>
          <w:rFonts w:ascii="Calibri" w:hAnsi="Calibri" w:cs="Calibri"/>
          <w:b/>
        </w:rPr>
        <w:t>M</w:t>
      </w:r>
      <w:r w:rsidRPr="00824AD9">
        <w:rPr>
          <w:rFonts w:ascii="Calibri" w:hAnsi="Calibri" w:cs="Calibri"/>
          <w:b/>
        </w:rPr>
        <w:t xml:space="preserve">udanças </w:t>
      </w:r>
      <w:r w:rsidR="00C3164B">
        <w:rPr>
          <w:rFonts w:ascii="Calibri" w:hAnsi="Calibri" w:cs="Calibri"/>
          <w:b/>
        </w:rPr>
        <w:t>L</w:t>
      </w:r>
      <w:r w:rsidRPr="00824AD9">
        <w:rPr>
          <w:rFonts w:ascii="Calibri" w:hAnsi="Calibri" w:cs="Calibri"/>
          <w:b/>
        </w:rPr>
        <w:t>egislativas</w:t>
      </w:r>
    </w:p>
    <w:p w14:paraId="7D037543" w14:textId="77777777" w:rsidR="00445E31" w:rsidRDefault="00445E31" w:rsidP="00377573">
      <w:pPr>
        <w:autoSpaceDE w:val="0"/>
        <w:autoSpaceDN w:val="0"/>
        <w:adjustRightInd w:val="0"/>
        <w:spacing w:before="120" w:after="120" w:line="360" w:lineRule="auto"/>
        <w:jc w:val="both"/>
        <w:rPr>
          <w:rFonts w:ascii="Calibri" w:hAnsi="Calibri" w:cs="Calibri"/>
        </w:rPr>
      </w:pPr>
    </w:p>
    <w:p w14:paraId="08B67478" w14:textId="627C8AF8" w:rsidR="00445E31" w:rsidRDefault="00445E31" w:rsidP="00377573">
      <w:pPr>
        <w:autoSpaceDE w:val="0"/>
        <w:autoSpaceDN w:val="0"/>
        <w:adjustRightInd w:val="0"/>
        <w:spacing w:before="120" w:after="120" w:line="360" w:lineRule="auto"/>
        <w:jc w:val="both"/>
        <w:rPr>
          <w:rFonts w:ascii="Calibri" w:hAnsi="Calibri" w:cs="Calibri"/>
        </w:rPr>
      </w:pPr>
      <w:r w:rsidRPr="005B03CC">
        <w:rPr>
          <w:rFonts w:ascii="Calibri" w:hAnsi="Calibri" w:cs="Calibri"/>
        </w:rPr>
        <w:t xml:space="preserve">A Companhia foi criada por meio de </w:t>
      </w:r>
      <w:r w:rsidR="00ED569D">
        <w:rPr>
          <w:rFonts w:ascii="Calibri" w:hAnsi="Calibri" w:cs="Calibri"/>
        </w:rPr>
        <w:t>lei</w:t>
      </w:r>
      <w:r w:rsidRPr="005B03CC">
        <w:rPr>
          <w:rFonts w:ascii="Calibri" w:hAnsi="Calibri" w:cs="Calibri"/>
        </w:rPr>
        <w:t xml:space="preserve"> e sua atuação na estruturação e impl</w:t>
      </w:r>
      <w:r w:rsidR="00CF507E">
        <w:rPr>
          <w:rFonts w:ascii="Calibri" w:hAnsi="Calibri" w:cs="Calibri"/>
        </w:rPr>
        <w:t>a</w:t>
      </w:r>
      <w:r w:rsidRPr="005B03CC">
        <w:rPr>
          <w:rFonts w:ascii="Calibri" w:hAnsi="Calibri" w:cs="Calibri"/>
        </w:rPr>
        <w:t>ntação de</w:t>
      </w:r>
      <w:r>
        <w:rPr>
          <w:rFonts w:ascii="Calibri" w:hAnsi="Calibri" w:cs="Calibri"/>
        </w:rPr>
        <w:t xml:space="preserve"> </w:t>
      </w:r>
      <w:r w:rsidRPr="005B03CC">
        <w:rPr>
          <w:rFonts w:ascii="Calibri" w:hAnsi="Calibri" w:cs="Calibri"/>
        </w:rPr>
        <w:t>operações que envolvam a emissão de valores mobiliários, encontra-se consubstanciada em</w:t>
      </w:r>
      <w:r>
        <w:rPr>
          <w:rFonts w:ascii="Calibri" w:hAnsi="Calibri" w:cs="Calibri"/>
        </w:rPr>
        <w:t xml:space="preserve"> </w:t>
      </w:r>
      <w:r w:rsidRPr="005B03CC">
        <w:rPr>
          <w:rFonts w:ascii="Calibri" w:hAnsi="Calibri" w:cs="Calibri"/>
        </w:rPr>
        <w:lastRenderedPageBreak/>
        <w:t xml:space="preserve">legislação, em especial a Lei </w:t>
      </w:r>
      <w:r w:rsidR="00DE34D3">
        <w:rPr>
          <w:rFonts w:ascii="Calibri" w:hAnsi="Calibri" w:cs="Calibri"/>
        </w:rPr>
        <w:t xml:space="preserve">Municipal </w:t>
      </w:r>
      <w:r w:rsidRPr="005B03CC">
        <w:rPr>
          <w:rFonts w:ascii="Calibri" w:hAnsi="Calibri" w:cs="Calibri"/>
        </w:rPr>
        <w:t xml:space="preserve">nº </w:t>
      </w:r>
      <w:r w:rsidRPr="00A9210E">
        <w:rPr>
          <w:rFonts w:ascii="Calibri" w:hAnsi="Calibri" w:cs="Calibri"/>
        </w:rPr>
        <w:t>14.</w:t>
      </w:r>
      <w:r w:rsidR="00DE34D3">
        <w:rPr>
          <w:rFonts w:ascii="Calibri" w:hAnsi="Calibri" w:cs="Calibri"/>
        </w:rPr>
        <w:t>649</w:t>
      </w:r>
      <w:r w:rsidRPr="00A9210E">
        <w:rPr>
          <w:rFonts w:ascii="Calibri" w:hAnsi="Calibri" w:cs="Calibri"/>
        </w:rPr>
        <w:t xml:space="preserve">, </w:t>
      </w:r>
      <w:r w:rsidR="00DE34D3">
        <w:rPr>
          <w:rFonts w:ascii="Calibri" w:hAnsi="Calibri" w:cs="Calibri"/>
        </w:rPr>
        <w:t>de 2007</w:t>
      </w:r>
      <w:r w:rsidRPr="005B03CC">
        <w:rPr>
          <w:rFonts w:ascii="Calibri" w:hAnsi="Calibri" w:cs="Calibri"/>
        </w:rPr>
        <w:t>,</w:t>
      </w:r>
      <w:r>
        <w:rPr>
          <w:rFonts w:ascii="Calibri" w:hAnsi="Calibri" w:cs="Calibri"/>
        </w:rPr>
        <w:t xml:space="preserve"> </w:t>
      </w:r>
      <w:r w:rsidR="00DE34D3">
        <w:t>Lei Municipal nº 14.934, de 2009</w:t>
      </w:r>
      <w:r w:rsidR="00DE34D3">
        <w:rPr>
          <w:rStyle w:val="Refdenotaderodap"/>
        </w:rPr>
        <w:footnoteReference w:id="3"/>
      </w:r>
      <w:r w:rsidR="00DE34D3">
        <w:t xml:space="preserve"> </w:t>
      </w:r>
      <w:r w:rsidRPr="005B03CC">
        <w:rPr>
          <w:rFonts w:ascii="Calibri" w:hAnsi="Calibri" w:cs="Calibri"/>
        </w:rPr>
        <w:t>e em legislação complementar federal, mas não se</w:t>
      </w:r>
      <w:r>
        <w:rPr>
          <w:rFonts w:ascii="Calibri" w:hAnsi="Calibri" w:cs="Calibri"/>
        </w:rPr>
        <w:t xml:space="preserve"> </w:t>
      </w:r>
      <w:r w:rsidRPr="005B03CC">
        <w:rPr>
          <w:rFonts w:ascii="Calibri" w:hAnsi="Calibri" w:cs="Calibri"/>
        </w:rPr>
        <w:t>limitando a ela. Eventuais alterações nos respectivos atos normativos poderão afetar,</w:t>
      </w:r>
      <w:r>
        <w:rPr>
          <w:rFonts w:ascii="Calibri" w:hAnsi="Calibri" w:cs="Calibri"/>
        </w:rPr>
        <w:t xml:space="preserve"> </w:t>
      </w:r>
      <w:r w:rsidRPr="005B03CC">
        <w:rPr>
          <w:rFonts w:ascii="Calibri" w:hAnsi="Calibri" w:cs="Calibri"/>
        </w:rPr>
        <w:t>negativamente, a solvência dos direitos creditórios adquiridos pela Companhia, bem como as</w:t>
      </w:r>
      <w:r>
        <w:rPr>
          <w:rFonts w:ascii="Calibri" w:hAnsi="Calibri" w:cs="Calibri"/>
        </w:rPr>
        <w:t xml:space="preserve"> </w:t>
      </w:r>
      <w:r w:rsidRPr="005B03CC">
        <w:rPr>
          <w:rFonts w:ascii="Calibri" w:hAnsi="Calibri" w:cs="Calibri"/>
        </w:rPr>
        <w:t>condições de consecução do seu objeto social. Tais mudanças poderão impactar negativamente a</w:t>
      </w:r>
      <w:r>
        <w:rPr>
          <w:rFonts w:ascii="Calibri" w:hAnsi="Calibri" w:cs="Calibri"/>
        </w:rPr>
        <w:t xml:space="preserve"> </w:t>
      </w:r>
      <w:r w:rsidRPr="005B03CC">
        <w:rPr>
          <w:rFonts w:ascii="Calibri" w:hAnsi="Calibri" w:cs="Calibri"/>
        </w:rPr>
        <w:t>capacidade econômico-financeira da Companhia para honrar suas obrigações pecuniárias.</w:t>
      </w:r>
    </w:p>
    <w:p w14:paraId="5A9ECD13" w14:textId="2964DCC3" w:rsidR="00C52A5D" w:rsidRDefault="00CE34E8" w:rsidP="00377573">
      <w:pPr>
        <w:autoSpaceDE w:val="0"/>
        <w:autoSpaceDN w:val="0"/>
        <w:adjustRightInd w:val="0"/>
        <w:spacing w:before="120" w:after="120" w:line="360" w:lineRule="auto"/>
        <w:jc w:val="both"/>
        <w:rPr>
          <w:rFonts w:ascii="Calibri" w:hAnsi="Calibri" w:cs="Calibri"/>
        </w:rPr>
      </w:pPr>
      <w:r w:rsidRPr="00D32894">
        <w:t>A decisão cautelar do Tr</w:t>
      </w:r>
      <w:r>
        <w:t>ibunal de Contas da União, de 1.</w:t>
      </w:r>
      <w:r w:rsidRPr="00D32894">
        <w:t>12</w:t>
      </w:r>
      <w:r>
        <w:t>.</w:t>
      </w:r>
      <w:r w:rsidRPr="00D32894">
        <w:t>2014, proferida no âmbito do processo nº TC 043.416/2012-8, motivou a suspensão, pela Comissão de Valores Mobiliários, do registro do Fundo de Investimento em Direitos Creditórios Saneamento Ambiental e Infraestrutura São Paulo, coordenado pela SPDA. Para o prosseguimento desta operação e de outras operações de securitização que possam vir a ser estruturadas pela Companhia, é necessário aguardar a tramitação do PL</w:t>
      </w:r>
      <w:r w:rsidR="001C1EF0">
        <w:t>P</w:t>
      </w:r>
      <w:r w:rsidRPr="00D32894">
        <w:t xml:space="preserve"> nº </w:t>
      </w:r>
      <w:r w:rsidR="001C1EF0">
        <w:t>459</w:t>
      </w:r>
      <w:r w:rsidRPr="00D32894">
        <w:t>/201</w:t>
      </w:r>
      <w:r w:rsidR="001C1EF0">
        <w:t>7</w:t>
      </w:r>
      <w:r w:rsidRPr="00D32894">
        <w:t>, de maneira que reste claro que operações de securitização intentadas por municípios brasileiros e que se adequem ao texto da lei não caracterizam operações de crédito.</w:t>
      </w:r>
    </w:p>
    <w:p w14:paraId="192E358F" w14:textId="77777777" w:rsidR="00C52A5D" w:rsidRDefault="00C52A5D" w:rsidP="00377573">
      <w:pPr>
        <w:autoSpaceDE w:val="0"/>
        <w:autoSpaceDN w:val="0"/>
        <w:adjustRightInd w:val="0"/>
        <w:spacing w:before="120" w:after="120" w:line="360" w:lineRule="auto"/>
        <w:jc w:val="both"/>
        <w:rPr>
          <w:rFonts w:ascii="Calibri" w:hAnsi="Calibri" w:cs="Calibri"/>
        </w:rPr>
      </w:pPr>
    </w:p>
    <w:p w14:paraId="307A6BED" w14:textId="77777777" w:rsidR="00445E31" w:rsidRDefault="00051BCE" w:rsidP="00377573">
      <w:pPr>
        <w:autoSpaceDE w:val="0"/>
        <w:autoSpaceDN w:val="0"/>
        <w:adjustRightInd w:val="0"/>
        <w:spacing w:before="120" w:after="120" w:line="360" w:lineRule="auto"/>
        <w:jc w:val="both"/>
        <w:rPr>
          <w:rFonts w:ascii="Calibri" w:hAnsi="Calibri" w:cs="Calibri"/>
          <w:b/>
        </w:rPr>
      </w:pPr>
      <w:r>
        <w:rPr>
          <w:rFonts w:ascii="Calibri" w:hAnsi="Calibri" w:cs="Calibri"/>
          <w:b/>
        </w:rPr>
        <w:t>e</w:t>
      </w:r>
      <w:r w:rsidR="00445E31" w:rsidRPr="00824AD9">
        <w:rPr>
          <w:rFonts w:ascii="Calibri" w:hAnsi="Calibri" w:cs="Calibri"/>
          <w:b/>
        </w:rPr>
        <w:t xml:space="preserve">. </w:t>
      </w:r>
      <w:r w:rsidR="00C3164B">
        <w:rPr>
          <w:rFonts w:ascii="Calibri" w:hAnsi="Calibri" w:cs="Calibri"/>
          <w:b/>
        </w:rPr>
        <w:t>Q</w:t>
      </w:r>
      <w:r w:rsidR="00445E31" w:rsidRPr="00824AD9">
        <w:rPr>
          <w:rFonts w:ascii="Calibri" w:hAnsi="Calibri" w:cs="Calibri"/>
          <w:b/>
        </w:rPr>
        <w:t xml:space="preserve">uestões </w:t>
      </w:r>
      <w:r w:rsidR="00C3164B">
        <w:rPr>
          <w:rFonts w:ascii="Calibri" w:hAnsi="Calibri" w:cs="Calibri"/>
          <w:b/>
        </w:rPr>
        <w:t>S</w:t>
      </w:r>
      <w:r w:rsidR="00445E31" w:rsidRPr="00824AD9">
        <w:rPr>
          <w:rFonts w:ascii="Calibri" w:hAnsi="Calibri" w:cs="Calibri"/>
          <w:b/>
        </w:rPr>
        <w:t>ocioambientais</w:t>
      </w:r>
    </w:p>
    <w:p w14:paraId="638B331F" w14:textId="77777777" w:rsidR="00445E31" w:rsidRDefault="00445E31" w:rsidP="00377573">
      <w:pPr>
        <w:autoSpaceDE w:val="0"/>
        <w:autoSpaceDN w:val="0"/>
        <w:adjustRightInd w:val="0"/>
        <w:spacing w:before="120" w:after="120" w:line="360" w:lineRule="auto"/>
        <w:jc w:val="both"/>
        <w:rPr>
          <w:rFonts w:ascii="Calibri" w:hAnsi="Calibri" w:cs="Calibri"/>
          <w:b/>
        </w:rPr>
      </w:pPr>
    </w:p>
    <w:p w14:paraId="6E3505CC" w14:textId="77777777" w:rsidR="00445E31" w:rsidRDefault="00445E31"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Pr>
          <w:rFonts w:ascii="Calibri" w:hAnsi="Calibri" w:cs="Calibri"/>
          <w:sz w:val="22"/>
          <w:szCs w:val="22"/>
        </w:rPr>
        <w:t xml:space="preserve">O objeto da </w:t>
      </w:r>
      <w:r w:rsidR="00051BCE">
        <w:rPr>
          <w:rFonts w:ascii="Calibri" w:hAnsi="Calibri" w:cs="Calibri"/>
          <w:sz w:val="22"/>
          <w:szCs w:val="22"/>
        </w:rPr>
        <w:t>SPDA</w:t>
      </w:r>
      <w:r>
        <w:rPr>
          <w:rFonts w:ascii="Calibri" w:hAnsi="Calibri" w:cs="Calibri"/>
          <w:sz w:val="22"/>
          <w:szCs w:val="22"/>
        </w:rPr>
        <w:t xml:space="preserve"> não gera qualquer impacto socioambiental relevante.</w:t>
      </w:r>
    </w:p>
    <w:p w14:paraId="032C65A3" w14:textId="77777777" w:rsidR="004D5867" w:rsidRDefault="004D5867"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5943E1E0" w14:textId="77777777" w:rsidR="00051BCE" w:rsidRPr="00051BCE" w:rsidRDefault="00051BCE" w:rsidP="00377573">
      <w:pPr>
        <w:pStyle w:val="PargrafodaLista"/>
        <w:autoSpaceDE w:val="0"/>
        <w:autoSpaceDN w:val="0"/>
        <w:adjustRightInd w:val="0"/>
        <w:spacing w:before="120" w:after="120" w:line="360" w:lineRule="auto"/>
        <w:ind w:left="0"/>
        <w:contextualSpacing w:val="0"/>
        <w:rPr>
          <w:rFonts w:asciiTheme="minorHAnsi" w:hAnsiTheme="minorHAnsi"/>
          <w:b/>
          <w:sz w:val="22"/>
          <w:szCs w:val="22"/>
        </w:rPr>
      </w:pPr>
      <w:r w:rsidRPr="00051BCE">
        <w:rPr>
          <w:rFonts w:asciiTheme="minorHAnsi" w:hAnsiTheme="minorHAnsi"/>
          <w:b/>
          <w:sz w:val="22"/>
          <w:szCs w:val="22"/>
        </w:rPr>
        <w:t xml:space="preserve">f. </w:t>
      </w:r>
      <w:r w:rsidR="00C3164B">
        <w:rPr>
          <w:rFonts w:asciiTheme="minorHAnsi" w:hAnsiTheme="minorHAnsi"/>
          <w:b/>
          <w:sz w:val="22"/>
          <w:szCs w:val="22"/>
        </w:rPr>
        <w:t>D</w:t>
      </w:r>
      <w:r>
        <w:rPr>
          <w:rFonts w:asciiTheme="minorHAnsi" w:hAnsiTheme="minorHAnsi"/>
          <w:b/>
          <w:sz w:val="22"/>
          <w:szCs w:val="22"/>
        </w:rPr>
        <w:t xml:space="preserve">ecisões </w:t>
      </w:r>
      <w:r w:rsidR="00C3164B">
        <w:rPr>
          <w:rFonts w:asciiTheme="minorHAnsi" w:hAnsiTheme="minorHAnsi"/>
          <w:b/>
          <w:sz w:val="22"/>
          <w:szCs w:val="22"/>
        </w:rPr>
        <w:t>J</w:t>
      </w:r>
      <w:r w:rsidRPr="00051BCE">
        <w:rPr>
          <w:rFonts w:asciiTheme="minorHAnsi" w:hAnsiTheme="minorHAnsi"/>
          <w:b/>
          <w:sz w:val="22"/>
          <w:szCs w:val="22"/>
        </w:rPr>
        <w:t>udiciais</w:t>
      </w:r>
    </w:p>
    <w:p w14:paraId="1C3D290B" w14:textId="77777777" w:rsidR="00051BCE" w:rsidRDefault="00051BCE"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715C4D3B" w14:textId="77777777" w:rsidR="00051BCE" w:rsidRPr="00051BCE" w:rsidRDefault="001237A4"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Pr>
          <w:rFonts w:asciiTheme="minorHAnsi" w:hAnsiTheme="minorHAnsi"/>
          <w:sz w:val="22"/>
          <w:szCs w:val="22"/>
        </w:rPr>
        <w:t>Não há ações judiciais em curso contra a SPDA</w:t>
      </w:r>
      <w:r w:rsidR="00D32894">
        <w:rPr>
          <w:rFonts w:asciiTheme="minorHAnsi" w:hAnsiTheme="minorHAnsi"/>
          <w:sz w:val="22"/>
          <w:szCs w:val="22"/>
        </w:rPr>
        <w:t xml:space="preserve"> ou por ela iniciada</w:t>
      </w:r>
      <w:r>
        <w:rPr>
          <w:rFonts w:asciiTheme="minorHAnsi" w:hAnsiTheme="minorHAnsi"/>
          <w:sz w:val="22"/>
          <w:szCs w:val="22"/>
        </w:rPr>
        <w:t>.</w:t>
      </w:r>
    </w:p>
    <w:p w14:paraId="7D0BC026" w14:textId="77777777" w:rsidR="00051BCE" w:rsidRDefault="00051BCE"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79BD8BC6" w14:textId="0AE10DE0" w:rsidR="007579EE" w:rsidRPr="006812B0" w:rsidRDefault="007579EE" w:rsidP="00377573">
      <w:pPr>
        <w:pStyle w:val="PargrafodaLista"/>
        <w:autoSpaceDE w:val="0"/>
        <w:autoSpaceDN w:val="0"/>
        <w:adjustRightInd w:val="0"/>
        <w:spacing w:before="120" w:after="120" w:line="360" w:lineRule="auto"/>
        <w:ind w:left="0"/>
        <w:contextualSpacing w:val="0"/>
        <w:rPr>
          <w:rFonts w:asciiTheme="minorHAnsi" w:hAnsiTheme="minorHAnsi"/>
          <w:b/>
          <w:sz w:val="22"/>
          <w:szCs w:val="22"/>
        </w:rPr>
      </w:pPr>
      <w:r w:rsidRPr="006812B0">
        <w:rPr>
          <w:rFonts w:asciiTheme="minorHAnsi" w:hAnsiTheme="minorHAnsi"/>
          <w:b/>
          <w:sz w:val="22"/>
          <w:szCs w:val="22"/>
        </w:rPr>
        <w:lastRenderedPageBreak/>
        <w:t xml:space="preserve">g. Risco de </w:t>
      </w:r>
      <w:r w:rsidR="00590C38">
        <w:rPr>
          <w:rFonts w:asciiTheme="minorHAnsi" w:hAnsiTheme="minorHAnsi"/>
          <w:b/>
          <w:sz w:val="22"/>
          <w:szCs w:val="22"/>
        </w:rPr>
        <w:t>Desc</w:t>
      </w:r>
      <w:r w:rsidRPr="006812B0">
        <w:rPr>
          <w:rFonts w:asciiTheme="minorHAnsi" w:hAnsiTheme="minorHAnsi"/>
          <w:b/>
          <w:sz w:val="22"/>
          <w:szCs w:val="22"/>
        </w:rPr>
        <w:t>ontinuidade</w:t>
      </w:r>
      <w:r w:rsidR="00590C38">
        <w:rPr>
          <w:rFonts w:asciiTheme="minorHAnsi" w:hAnsiTheme="minorHAnsi"/>
          <w:b/>
          <w:sz w:val="22"/>
          <w:szCs w:val="22"/>
        </w:rPr>
        <w:t xml:space="preserve"> de Ações da Empresa em Razão de Rotatividade de Pessoal</w:t>
      </w:r>
    </w:p>
    <w:p w14:paraId="77A835EB" w14:textId="77777777" w:rsidR="007579EE" w:rsidRDefault="007579EE"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50B2F4C5" w14:textId="6B6A9FF5" w:rsidR="007579EE" w:rsidRDefault="002B4710"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Pr>
          <w:rFonts w:asciiTheme="minorHAnsi" w:hAnsiTheme="minorHAnsi"/>
          <w:sz w:val="22"/>
          <w:szCs w:val="22"/>
        </w:rPr>
        <w:t>O quadro de colaboradores da Companhia</w:t>
      </w:r>
      <w:r w:rsidR="00152E9F">
        <w:rPr>
          <w:rFonts w:asciiTheme="minorHAnsi" w:hAnsiTheme="minorHAnsi"/>
          <w:sz w:val="22"/>
          <w:szCs w:val="22"/>
        </w:rPr>
        <w:t xml:space="preserve"> é</w:t>
      </w:r>
      <w:r>
        <w:rPr>
          <w:rFonts w:asciiTheme="minorHAnsi" w:hAnsiTheme="minorHAnsi"/>
          <w:sz w:val="22"/>
          <w:szCs w:val="22"/>
        </w:rPr>
        <w:t xml:space="preserve"> composto por </w:t>
      </w:r>
      <w:r w:rsidR="009110B3">
        <w:rPr>
          <w:rFonts w:asciiTheme="minorHAnsi" w:hAnsiTheme="minorHAnsi"/>
          <w:sz w:val="22"/>
          <w:szCs w:val="22"/>
        </w:rPr>
        <w:t xml:space="preserve">dois </w:t>
      </w:r>
      <w:r>
        <w:rPr>
          <w:rFonts w:asciiTheme="minorHAnsi" w:hAnsiTheme="minorHAnsi"/>
          <w:sz w:val="22"/>
          <w:szCs w:val="22"/>
        </w:rPr>
        <w:t xml:space="preserve">diretores e </w:t>
      </w:r>
      <w:r w:rsidR="009110B3">
        <w:rPr>
          <w:rFonts w:asciiTheme="minorHAnsi" w:hAnsiTheme="minorHAnsi"/>
          <w:sz w:val="22"/>
          <w:szCs w:val="22"/>
        </w:rPr>
        <w:t>cinco</w:t>
      </w:r>
      <w:r>
        <w:rPr>
          <w:rFonts w:asciiTheme="minorHAnsi" w:hAnsiTheme="minorHAnsi"/>
          <w:sz w:val="22"/>
          <w:szCs w:val="22"/>
        </w:rPr>
        <w:t xml:space="preserve"> assessores, </w:t>
      </w:r>
      <w:r w:rsidR="008536D7">
        <w:rPr>
          <w:rFonts w:asciiTheme="minorHAnsi" w:hAnsiTheme="minorHAnsi"/>
          <w:sz w:val="22"/>
          <w:szCs w:val="22"/>
        </w:rPr>
        <w:t xml:space="preserve">todos </w:t>
      </w:r>
      <w:r w:rsidR="00152E9F">
        <w:rPr>
          <w:rFonts w:asciiTheme="minorHAnsi" w:hAnsiTheme="minorHAnsi"/>
          <w:sz w:val="22"/>
          <w:szCs w:val="22"/>
        </w:rPr>
        <w:t xml:space="preserve">ocupantes de cargos </w:t>
      </w:r>
      <w:r w:rsidR="008536D7">
        <w:rPr>
          <w:rFonts w:asciiTheme="minorHAnsi" w:hAnsiTheme="minorHAnsi"/>
          <w:sz w:val="22"/>
          <w:szCs w:val="22"/>
        </w:rPr>
        <w:t>comissionados</w:t>
      </w:r>
      <w:r w:rsidR="009110B3">
        <w:rPr>
          <w:rFonts w:asciiTheme="minorHAnsi" w:hAnsiTheme="minorHAnsi"/>
          <w:sz w:val="22"/>
          <w:szCs w:val="22"/>
        </w:rPr>
        <w:t>,</w:t>
      </w:r>
      <w:r w:rsidR="004F71D2">
        <w:rPr>
          <w:rFonts w:asciiTheme="minorHAnsi" w:hAnsiTheme="minorHAnsi"/>
          <w:sz w:val="22"/>
          <w:szCs w:val="22"/>
        </w:rPr>
        <w:t xml:space="preserve"> o que pode representar um risco para as atividades</w:t>
      </w:r>
      <w:r w:rsidR="00590C38">
        <w:rPr>
          <w:rFonts w:asciiTheme="minorHAnsi" w:hAnsiTheme="minorHAnsi"/>
          <w:sz w:val="22"/>
          <w:szCs w:val="22"/>
        </w:rPr>
        <w:t xml:space="preserve"> e projetos</w:t>
      </w:r>
      <w:r w:rsidR="004F71D2">
        <w:rPr>
          <w:rFonts w:asciiTheme="minorHAnsi" w:hAnsiTheme="minorHAnsi"/>
          <w:sz w:val="22"/>
          <w:szCs w:val="22"/>
        </w:rPr>
        <w:t xml:space="preserve"> da </w:t>
      </w:r>
      <w:r w:rsidR="0012777C">
        <w:rPr>
          <w:rFonts w:asciiTheme="minorHAnsi" w:hAnsiTheme="minorHAnsi"/>
          <w:sz w:val="22"/>
          <w:szCs w:val="22"/>
        </w:rPr>
        <w:t>Companhia</w:t>
      </w:r>
      <w:r w:rsidR="00590C38">
        <w:rPr>
          <w:rFonts w:asciiTheme="minorHAnsi" w:hAnsiTheme="minorHAnsi"/>
          <w:sz w:val="22"/>
          <w:szCs w:val="22"/>
        </w:rPr>
        <w:t>, no longo prazo, em razão de maiores dificuldades de transmissão de conhecimento em caso de mudanças na gestão municipal</w:t>
      </w:r>
      <w:r w:rsidR="004F71D2">
        <w:rPr>
          <w:rFonts w:asciiTheme="minorHAnsi" w:hAnsiTheme="minorHAnsi"/>
          <w:sz w:val="22"/>
          <w:szCs w:val="22"/>
        </w:rPr>
        <w:t xml:space="preserve">. </w:t>
      </w:r>
    </w:p>
    <w:p w14:paraId="7C650A38" w14:textId="77777777" w:rsidR="007579EE" w:rsidRDefault="007579EE"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46D76B6A" w14:textId="77777777" w:rsidR="000F1818" w:rsidRPr="000F1818" w:rsidRDefault="000F1818" w:rsidP="00377573">
      <w:pPr>
        <w:pStyle w:val="PargrafodaLista"/>
        <w:numPr>
          <w:ilvl w:val="0"/>
          <w:numId w:val="1"/>
        </w:numPr>
        <w:autoSpaceDE w:val="0"/>
        <w:autoSpaceDN w:val="0"/>
        <w:adjustRightInd w:val="0"/>
        <w:spacing w:before="120" w:after="120" w:line="360" w:lineRule="auto"/>
        <w:ind w:left="0" w:firstLine="0"/>
        <w:contextualSpacing w:val="0"/>
        <w:rPr>
          <w:rFonts w:asciiTheme="minorHAnsi" w:hAnsiTheme="minorHAnsi"/>
          <w:b/>
          <w:sz w:val="22"/>
          <w:szCs w:val="22"/>
        </w:rPr>
      </w:pPr>
      <w:r w:rsidRPr="000F1818">
        <w:rPr>
          <w:rFonts w:asciiTheme="minorHAnsi" w:hAnsiTheme="minorHAnsi"/>
          <w:b/>
          <w:sz w:val="22"/>
          <w:szCs w:val="22"/>
        </w:rPr>
        <w:t>DADOS ECONÔMICO-FINANCEIROS E COMENTÁRIOS SOBRE</w:t>
      </w:r>
      <w:r w:rsidR="000D37D0">
        <w:rPr>
          <w:rFonts w:asciiTheme="minorHAnsi" w:hAnsiTheme="minorHAnsi"/>
          <w:b/>
          <w:sz w:val="22"/>
          <w:szCs w:val="22"/>
        </w:rPr>
        <w:t xml:space="preserve"> </w:t>
      </w:r>
      <w:r w:rsidRPr="000F1818">
        <w:rPr>
          <w:rFonts w:asciiTheme="minorHAnsi" w:hAnsiTheme="minorHAnsi"/>
          <w:b/>
          <w:sz w:val="22"/>
          <w:szCs w:val="22"/>
        </w:rPr>
        <w:t>O DESEMPENHO</w:t>
      </w:r>
    </w:p>
    <w:p w14:paraId="514093DA" w14:textId="77777777" w:rsidR="000F1818" w:rsidRDefault="000F1818"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357503F0" w14:textId="77777777" w:rsidR="003C2996" w:rsidRDefault="003C2996" w:rsidP="00377573">
      <w:pPr>
        <w:pStyle w:val="PargrafodaLista"/>
        <w:widowControl w:val="0"/>
        <w:autoSpaceDE w:val="0"/>
        <w:autoSpaceDN w:val="0"/>
        <w:adjustRightInd w:val="0"/>
        <w:spacing w:before="120" w:after="120" w:line="360" w:lineRule="auto"/>
        <w:ind w:left="0"/>
        <w:contextualSpacing w:val="0"/>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 xml:space="preserve">Não houve </w:t>
      </w:r>
      <w:r w:rsidRPr="003C2996">
        <w:rPr>
          <w:rFonts w:asciiTheme="minorHAnsi" w:eastAsiaTheme="minorHAnsi" w:hAnsiTheme="minorHAnsi"/>
          <w:color w:val="000000"/>
          <w:sz w:val="22"/>
          <w:szCs w:val="22"/>
          <w:lang w:eastAsia="en-US"/>
        </w:rPr>
        <w:t>r</w:t>
      </w:r>
      <w:r w:rsidR="001237A4">
        <w:rPr>
          <w:rFonts w:asciiTheme="minorHAnsi" w:eastAsiaTheme="minorHAnsi" w:hAnsiTheme="minorHAnsi"/>
          <w:color w:val="000000"/>
          <w:sz w:val="22"/>
          <w:szCs w:val="22"/>
          <w:lang w:eastAsia="en-US"/>
        </w:rPr>
        <w:t>emuneração variável vinculad</w:t>
      </w:r>
      <w:r w:rsidR="000D37D0">
        <w:rPr>
          <w:rFonts w:asciiTheme="minorHAnsi" w:eastAsiaTheme="minorHAnsi" w:hAnsiTheme="minorHAnsi"/>
          <w:color w:val="000000"/>
          <w:sz w:val="22"/>
          <w:szCs w:val="22"/>
          <w:lang w:eastAsia="en-US"/>
        </w:rPr>
        <w:t>a</w:t>
      </w:r>
      <w:r w:rsidR="001237A4">
        <w:rPr>
          <w:rFonts w:asciiTheme="minorHAnsi" w:eastAsiaTheme="minorHAnsi" w:hAnsiTheme="minorHAnsi"/>
          <w:color w:val="000000"/>
          <w:sz w:val="22"/>
          <w:szCs w:val="22"/>
          <w:lang w:eastAsia="en-US"/>
        </w:rPr>
        <w:t xml:space="preserve"> </w:t>
      </w:r>
      <w:r w:rsidR="000D37D0">
        <w:rPr>
          <w:rFonts w:asciiTheme="minorHAnsi" w:eastAsiaTheme="minorHAnsi" w:hAnsiTheme="minorHAnsi"/>
          <w:color w:val="000000"/>
          <w:sz w:val="22"/>
          <w:szCs w:val="22"/>
          <w:lang w:eastAsia="en-US"/>
        </w:rPr>
        <w:t>às</w:t>
      </w:r>
      <w:r w:rsidRPr="003C2996">
        <w:rPr>
          <w:rFonts w:asciiTheme="minorHAnsi" w:eastAsiaTheme="minorHAnsi" w:hAnsiTheme="minorHAnsi"/>
          <w:color w:val="000000"/>
          <w:sz w:val="22"/>
          <w:szCs w:val="22"/>
          <w:lang w:eastAsia="en-US"/>
        </w:rPr>
        <w:t xml:space="preserve"> metas</w:t>
      </w:r>
      <w:r w:rsidR="001237A4">
        <w:rPr>
          <w:rFonts w:asciiTheme="minorHAnsi" w:eastAsiaTheme="minorHAnsi" w:hAnsiTheme="minorHAnsi"/>
          <w:color w:val="000000"/>
          <w:sz w:val="22"/>
          <w:szCs w:val="22"/>
          <w:lang w:eastAsia="en-US"/>
        </w:rPr>
        <w:t xml:space="preserve"> da Companhia relatadas no </w:t>
      </w:r>
      <w:r w:rsidR="001237A4" w:rsidRPr="001237A4">
        <w:rPr>
          <w:rFonts w:asciiTheme="minorHAnsi" w:eastAsiaTheme="minorHAnsi" w:hAnsiTheme="minorHAnsi"/>
          <w:color w:val="000000"/>
          <w:sz w:val="22"/>
          <w:szCs w:val="22"/>
          <w:lang w:eastAsia="en-US"/>
        </w:rPr>
        <w:t xml:space="preserve">Compromisso </w:t>
      </w:r>
      <w:r w:rsidR="001237A4">
        <w:rPr>
          <w:rFonts w:asciiTheme="minorHAnsi" w:eastAsiaTheme="minorHAnsi" w:hAnsiTheme="minorHAnsi"/>
          <w:color w:val="000000"/>
          <w:sz w:val="22"/>
          <w:szCs w:val="22"/>
          <w:lang w:eastAsia="en-US"/>
        </w:rPr>
        <w:t>d</w:t>
      </w:r>
      <w:r w:rsidR="001237A4" w:rsidRPr="001237A4">
        <w:rPr>
          <w:rFonts w:asciiTheme="minorHAnsi" w:eastAsiaTheme="minorHAnsi" w:hAnsiTheme="minorHAnsi"/>
          <w:color w:val="000000"/>
          <w:sz w:val="22"/>
          <w:szCs w:val="22"/>
          <w:lang w:eastAsia="en-US"/>
        </w:rPr>
        <w:t>e Desempenho Institucional</w:t>
      </w:r>
      <w:r w:rsidRPr="003C2996">
        <w:rPr>
          <w:rFonts w:asciiTheme="minorHAnsi" w:eastAsiaTheme="minorHAnsi" w:hAnsiTheme="minorHAnsi"/>
          <w:color w:val="000000"/>
          <w:sz w:val="22"/>
          <w:szCs w:val="22"/>
          <w:lang w:eastAsia="en-US"/>
        </w:rPr>
        <w:t>, em termos de montante máximo autorizado e montante efetivamente atribuído aos diretores.</w:t>
      </w:r>
    </w:p>
    <w:p w14:paraId="6524DDAF" w14:textId="5EEC313F" w:rsidR="000F1818" w:rsidRPr="000F1818" w:rsidRDefault="003C2996" w:rsidP="00377573">
      <w:pPr>
        <w:pStyle w:val="PargrafodaLista"/>
        <w:widowControl w:val="0"/>
        <w:autoSpaceDE w:val="0"/>
        <w:autoSpaceDN w:val="0"/>
        <w:adjustRightInd w:val="0"/>
        <w:spacing w:before="120" w:after="120" w:line="360" w:lineRule="auto"/>
        <w:ind w:left="0"/>
        <w:contextualSpacing w:val="0"/>
        <w:rPr>
          <w:rFonts w:asciiTheme="minorHAnsi" w:hAnsiTheme="minorHAnsi"/>
          <w:sz w:val="22"/>
          <w:szCs w:val="22"/>
        </w:rPr>
      </w:pPr>
      <w:r w:rsidRPr="00813BE5">
        <w:rPr>
          <w:rFonts w:asciiTheme="minorHAnsi" w:eastAsiaTheme="minorHAnsi" w:hAnsiTheme="minorHAnsi"/>
          <w:color w:val="000000"/>
          <w:sz w:val="22"/>
          <w:szCs w:val="22"/>
          <w:lang w:eastAsia="en-US"/>
        </w:rPr>
        <w:t>O Relatório Semestral de Acompanhamento, elaborado pelo Comitê de Acompanhamento da Administração Indireta – CAAI, apontou que as metas para os resultados econômicos e financeiros, subdivididos entre resultado operacional bruto e resultado financeiro</w:t>
      </w:r>
      <w:r w:rsidR="00FB038B" w:rsidRPr="00F33F41">
        <w:rPr>
          <w:rFonts w:asciiTheme="minorHAnsi" w:eastAsiaTheme="minorHAnsi" w:hAnsiTheme="minorHAnsi"/>
          <w:color w:val="000000"/>
          <w:sz w:val="22"/>
          <w:szCs w:val="22"/>
          <w:lang w:eastAsia="en-US"/>
        </w:rPr>
        <w:t xml:space="preserve"> foram, respectivamente: não atingidas (resultado operacional bruto) e atingidas com ressalvas (resultado financeiro)</w:t>
      </w:r>
      <w:r w:rsidRPr="00D2733E">
        <w:rPr>
          <w:rFonts w:asciiTheme="minorHAnsi" w:eastAsiaTheme="minorHAnsi" w:hAnsiTheme="minorHAnsi"/>
          <w:color w:val="000000"/>
          <w:sz w:val="22"/>
          <w:szCs w:val="22"/>
          <w:lang w:eastAsia="en-US"/>
        </w:rPr>
        <w:t>.</w:t>
      </w:r>
      <w:r w:rsidR="00FB038B" w:rsidRPr="00F33F41">
        <w:rPr>
          <w:rFonts w:asciiTheme="minorHAnsi" w:eastAsiaTheme="minorHAnsi" w:hAnsiTheme="minorHAnsi"/>
          <w:color w:val="000000"/>
          <w:sz w:val="22"/>
          <w:szCs w:val="22"/>
          <w:lang w:eastAsia="en-US"/>
        </w:rPr>
        <w:t xml:space="preserve"> Isso, porque houve a entrada de R$ 33 milhões não previstos no CDI.</w:t>
      </w:r>
      <w:r w:rsidRPr="00813BE5">
        <w:rPr>
          <w:rFonts w:asciiTheme="minorHAnsi" w:eastAsiaTheme="minorHAnsi" w:hAnsiTheme="minorHAnsi"/>
          <w:color w:val="000000"/>
          <w:sz w:val="22"/>
          <w:szCs w:val="22"/>
          <w:lang w:eastAsia="en-US"/>
        </w:rPr>
        <w:t xml:space="preserve"> No que diz respeito à meta de pessoal, </w:t>
      </w:r>
      <w:r w:rsidR="00356CF3" w:rsidRPr="00F33F41">
        <w:rPr>
          <w:rFonts w:asciiTheme="minorHAnsi" w:eastAsiaTheme="minorHAnsi" w:hAnsiTheme="minorHAnsi"/>
          <w:color w:val="000000"/>
          <w:sz w:val="22"/>
          <w:szCs w:val="22"/>
          <w:lang w:eastAsia="en-US"/>
        </w:rPr>
        <w:t xml:space="preserve">apesar de a </w:t>
      </w:r>
      <w:r w:rsidR="00D100E6">
        <w:rPr>
          <w:rFonts w:asciiTheme="minorHAnsi" w:eastAsiaTheme="minorHAnsi" w:hAnsiTheme="minorHAnsi"/>
          <w:color w:val="000000"/>
          <w:sz w:val="22"/>
          <w:szCs w:val="22"/>
          <w:lang w:eastAsia="en-US"/>
        </w:rPr>
        <w:t>Companhia</w:t>
      </w:r>
      <w:r w:rsidR="00356CF3" w:rsidRPr="00F33F41">
        <w:rPr>
          <w:rFonts w:asciiTheme="minorHAnsi" w:eastAsiaTheme="minorHAnsi" w:hAnsiTheme="minorHAnsi"/>
          <w:color w:val="000000"/>
          <w:sz w:val="22"/>
          <w:szCs w:val="22"/>
          <w:lang w:eastAsia="en-US"/>
        </w:rPr>
        <w:t xml:space="preserve"> se adequar ao quantitativo contratado, ficou acima do projetado em relação às despesas de pessoal. </w:t>
      </w:r>
      <w:r w:rsidRPr="00D2733E">
        <w:rPr>
          <w:rFonts w:asciiTheme="minorHAnsi" w:eastAsiaTheme="minorHAnsi" w:hAnsiTheme="minorHAnsi"/>
          <w:color w:val="000000"/>
          <w:sz w:val="22"/>
          <w:szCs w:val="22"/>
          <w:lang w:eastAsia="en-US"/>
        </w:rPr>
        <w:t xml:space="preserve">Por fim, as metas para produtos e investimentos, subdividida entre plano de investimentos, produtos e indicadores teve como avaliação: (i) o plano de investimentos foi considerado como </w:t>
      </w:r>
      <w:r w:rsidR="00D2733E" w:rsidRPr="00F33F41">
        <w:rPr>
          <w:rFonts w:asciiTheme="minorHAnsi" w:eastAsiaTheme="minorHAnsi" w:hAnsiTheme="minorHAnsi"/>
          <w:color w:val="000000"/>
          <w:sz w:val="22"/>
          <w:szCs w:val="22"/>
          <w:lang w:eastAsia="en-US"/>
        </w:rPr>
        <w:t xml:space="preserve">meta de cumprimento </w:t>
      </w:r>
      <w:r w:rsidRPr="00813BE5">
        <w:rPr>
          <w:rFonts w:asciiTheme="minorHAnsi" w:eastAsiaTheme="minorHAnsi" w:hAnsiTheme="minorHAnsi"/>
          <w:color w:val="000000"/>
          <w:sz w:val="22"/>
          <w:szCs w:val="22"/>
          <w:lang w:eastAsia="en-US"/>
        </w:rPr>
        <w:t xml:space="preserve">não </w:t>
      </w:r>
      <w:r w:rsidR="00D2733E" w:rsidRPr="00F33F41">
        <w:rPr>
          <w:rFonts w:asciiTheme="minorHAnsi" w:eastAsiaTheme="minorHAnsi" w:hAnsiTheme="minorHAnsi"/>
          <w:color w:val="000000"/>
          <w:sz w:val="22"/>
          <w:szCs w:val="22"/>
          <w:lang w:eastAsia="en-US"/>
        </w:rPr>
        <w:t xml:space="preserve">aplicável, considerando que </w:t>
      </w:r>
      <w:r w:rsidRPr="00813BE5">
        <w:rPr>
          <w:rFonts w:asciiTheme="minorHAnsi" w:eastAsiaTheme="minorHAnsi" w:hAnsiTheme="minorHAnsi"/>
          <w:color w:val="000000"/>
          <w:sz w:val="22"/>
          <w:szCs w:val="22"/>
          <w:lang w:eastAsia="en-US"/>
        </w:rPr>
        <w:t xml:space="preserve">não houve investimentos no </w:t>
      </w:r>
      <w:r w:rsidR="00D2733E" w:rsidRPr="00F33F41">
        <w:rPr>
          <w:rFonts w:asciiTheme="minorHAnsi" w:eastAsiaTheme="minorHAnsi" w:hAnsiTheme="minorHAnsi"/>
          <w:color w:val="000000"/>
          <w:sz w:val="22"/>
          <w:szCs w:val="22"/>
          <w:lang w:eastAsia="en-US"/>
        </w:rPr>
        <w:t>período</w:t>
      </w:r>
      <w:r w:rsidRPr="00813BE5">
        <w:rPr>
          <w:rFonts w:asciiTheme="minorHAnsi" w:eastAsiaTheme="minorHAnsi" w:hAnsiTheme="minorHAnsi"/>
          <w:color w:val="000000"/>
          <w:sz w:val="22"/>
          <w:szCs w:val="22"/>
          <w:lang w:eastAsia="en-US"/>
        </w:rPr>
        <w:t>; (</w:t>
      </w:r>
      <w:proofErr w:type="spellStart"/>
      <w:r w:rsidRPr="00813BE5">
        <w:rPr>
          <w:rFonts w:asciiTheme="minorHAnsi" w:eastAsiaTheme="minorHAnsi" w:hAnsiTheme="minorHAnsi"/>
          <w:color w:val="000000"/>
          <w:sz w:val="22"/>
          <w:szCs w:val="22"/>
          <w:lang w:eastAsia="en-US"/>
        </w:rPr>
        <w:t>ii</w:t>
      </w:r>
      <w:proofErr w:type="spellEnd"/>
      <w:r w:rsidRPr="00813BE5">
        <w:rPr>
          <w:rFonts w:asciiTheme="minorHAnsi" w:eastAsiaTheme="minorHAnsi" w:hAnsiTheme="minorHAnsi"/>
          <w:color w:val="000000"/>
          <w:sz w:val="22"/>
          <w:szCs w:val="22"/>
          <w:lang w:eastAsia="en-US"/>
        </w:rPr>
        <w:t xml:space="preserve">) o resultado para produtos foi considerado como não satisfatório, tendo em vista que, de acordo com o relatório, </w:t>
      </w:r>
      <w:r w:rsidR="00D2733E" w:rsidRPr="00F33F41">
        <w:rPr>
          <w:rFonts w:asciiTheme="minorHAnsi" w:eastAsiaTheme="minorHAnsi" w:hAnsiTheme="minorHAnsi"/>
          <w:color w:val="000000"/>
          <w:sz w:val="22"/>
          <w:szCs w:val="22"/>
          <w:lang w:eastAsia="en-US"/>
        </w:rPr>
        <w:t>apenas um entre três produtos foram entregues</w:t>
      </w:r>
      <w:r w:rsidRPr="00813BE5">
        <w:rPr>
          <w:rFonts w:asciiTheme="minorHAnsi" w:eastAsiaTheme="minorHAnsi" w:hAnsiTheme="minorHAnsi"/>
          <w:color w:val="000000"/>
          <w:sz w:val="22"/>
          <w:szCs w:val="22"/>
          <w:lang w:eastAsia="en-US"/>
        </w:rPr>
        <w:t>; e (</w:t>
      </w:r>
      <w:proofErr w:type="spellStart"/>
      <w:r w:rsidRPr="00813BE5">
        <w:rPr>
          <w:rFonts w:asciiTheme="minorHAnsi" w:eastAsiaTheme="minorHAnsi" w:hAnsiTheme="minorHAnsi"/>
          <w:color w:val="000000"/>
          <w:sz w:val="22"/>
          <w:szCs w:val="22"/>
          <w:lang w:eastAsia="en-US"/>
        </w:rPr>
        <w:t>iii</w:t>
      </w:r>
      <w:proofErr w:type="spellEnd"/>
      <w:r w:rsidRPr="00813BE5">
        <w:rPr>
          <w:rFonts w:asciiTheme="minorHAnsi" w:eastAsiaTheme="minorHAnsi" w:hAnsiTheme="minorHAnsi"/>
          <w:color w:val="000000"/>
          <w:sz w:val="22"/>
          <w:szCs w:val="22"/>
          <w:lang w:eastAsia="en-US"/>
        </w:rPr>
        <w:t xml:space="preserve">) a meta de indicadores foi considerada </w:t>
      </w:r>
      <w:r w:rsidR="00D2733E" w:rsidRPr="00F33F41">
        <w:rPr>
          <w:rFonts w:asciiTheme="minorHAnsi" w:eastAsiaTheme="minorHAnsi" w:hAnsiTheme="minorHAnsi"/>
          <w:color w:val="000000"/>
          <w:sz w:val="22"/>
          <w:szCs w:val="22"/>
          <w:lang w:eastAsia="en-US"/>
        </w:rPr>
        <w:t xml:space="preserve">não </w:t>
      </w:r>
      <w:r w:rsidRPr="00813BE5">
        <w:rPr>
          <w:rFonts w:asciiTheme="minorHAnsi" w:eastAsiaTheme="minorHAnsi" w:hAnsiTheme="minorHAnsi"/>
          <w:color w:val="000000"/>
          <w:sz w:val="22"/>
          <w:szCs w:val="22"/>
          <w:lang w:eastAsia="en-US"/>
        </w:rPr>
        <w:t xml:space="preserve">satisfatória, tendo em vista que dois indicadores tiveram desempenho superior à meta, e um </w:t>
      </w:r>
      <w:r w:rsidR="00D2733E" w:rsidRPr="00D2733E">
        <w:rPr>
          <w:rFonts w:asciiTheme="minorHAnsi" w:eastAsiaTheme="minorHAnsi" w:hAnsiTheme="minorHAnsi"/>
          <w:color w:val="000000"/>
          <w:sz w:val="22"/>
          <w:szCs w:val="22"/>
          <w:lang w:eastAsia="en-US"/>
        </w:rPr>
        <w:t>não atingiu o projetado</w:t>
      </w:r>
      <w:r w:rsidRPr="00D2733E">
        <w:rPr>
          <w:rFonts w:asciiTheme="minorHAnsi" w:eastAsiaTheme="minorHAnsi" w:hAnsiTheme="minorHAnsi"/>
          <w:color w:val="000000"/>
          <w:sz w:val="22"/>
          <w:szCs w:val="22"/>
          <w:lang w:eastAsia="en-US"/>
        </w:rPr>
        <w:t>.</w:t>
      </w:r>
    </w:p>
    <w:p w14:paraId="52597810" w14:textId="77777777" w:rsidR="000F1818" w:rsidRDefault="000F1818"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4D5FD075" w14:textId="77777777" w:rsidR="000F1818" w:rsidRPr="000F1818" w:rsidRDefault="000F1818" w:rsidP="00377573">
      <w:pPr>
        <w:pStyle w:val="PargrafodaLista"/>
        <w:numPr>
          <w:ilvl w:val="0"/>
          <w:numId w:val="1"/>
        </w:numPr>
        <w:autoSpaceDE w:val="0"/>
        <w:autoSpaceDN w:val="0"/>
        <w:adjustRightInd w:val="0"/>
        <w:spacing w:before="120" w:after="120" w:line="360" w:lineRule="auto"/>
        <w:ind w:left="0" w:firstLine="0"/>
        <w:contextualSpacing w:val="0"/>
        <w:rPr>
          <w:rFonts w:asciiTheme="minorHAnsi" w:hAnsiTheme="minorHAnsi"/>
          <w:b/>
          <w:sz w:val="22"/>
          <w:szCs w:val="22"/>
        </w:rPr>
      </w:pPr>
      <w:r w:rsidRPr="000F1818">
        <w:rPr>
          <w:rFonts w:asciiTheme="minorHAnsi" w:hAnsiTheme="minorHAnsi"/>
          <w:b/>
          <w:sz w:val="22"/>
          <w:szCs w:val="22"/>
        </w:rPr>
        <w:t>POLÍTICAS E PRÁTICAS DE GOVERNANÇA CORPORATIVA</w:t>
      </w:r>
    </w:p>
    <w:p w14:paraId="6FCCFFC1" w14:textId="77777777" w:rsidR="000F1818" w:rsidRDefault="000F1818"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p w14:paraId="267C747E" w14:textId="77777777" w:rsidR="000F1818" w:rsidRPr="000F1818" w:rsidRDefault="000F1818" w:rsidP="00377573">
      <w:pPr>
        <w:spacing w:before="120" w:after="120" w:line="360" w:lineRule="auto"/>
        <w:jc w:val="both"/>
        <w:rPr>
          <w:rFonts w:eastAsia="Times New Roman" w:cs="Times New Roman"/>
          <w:lang w:eastAsia="pt-BR"/>
        </w:rPr>
      </w:pPr>
      <w:r w:rsidRPr="000F1818">
        <w:lastRenderedPageBreak/>
        <w:t xml:space="preserve">A Companhia segue as diretrizes do Departamento de Defesa de Capitais e Haveres (DECAP) ligado à Secretaria de Fazenda do Município de São Paulo, bem como </w:t>
      </w:r>
      <w:r w:rsidR="006D7878">
        <w:t>está vinculada à</w:t>
      </w:r>
      <w:r w:rsidRPr="000F1818">
        <w:t>s diretrizes</w:t>
      </w:r>
      <w:r w:rsidR="006D7878">
        <w:t xml:space="preserve"> e</w:t>
      </w:r>
      <w:r w:rsidRPr="000F1818">
        <w:t xml:space="preserve"> </w:t>
      </w:r>
      <w:r w:rsidRPr="000F1818">
        <w:rPr>
          <w:rFonts w:eastAsia="Times New Roman" w:cs="Times New Roman"/>
          <w:lang w:eastAsia="pt-BR"/>
        </w:rPr>
        <w:t>normas de conduta do agente público insertas na Constituição Federal de 1988, Lei Orgânica do Município, Estatuto dos Servidores da Prefeitura do Município de São Paulo e demais regramentos</w:t>
      </w:r>
      <w:r w:rsidR="006D7878">
        <w:rPr>
          <w:rFonts w:eastAsia="Times New Roman" w:cs="Times New Roman"/>
          <w:lang w:eastAsia="pt-BR"/>
        </w:rPr>
        <w:t xml:space="preserve"> vigentes no município.</w:t>
      </w:r>
    </w:p>
    <w:p w14:paraId="0F8DD679" w14:textId="262A1FF8" w:rsidR="00BF5E41" w:rsidRDefault="00BF5E41"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sidRPr="00F33F41">
        <w:rPr>
          <w:rFonts w:asciiTheme="minorHAnsi" w:hAnsiTheme="minorHAnsi"/>
          <w:sz w:val="22"/>
          <w:szCs w:val="22"/>
        </w:rPr>
        <w:t>As informações da Companhia relativas a contratações e demais atividades próprias são realizadas de acordo com a legislação pertinente, estatuto social da Companhia, e suas políticas: (i) de atos e fatos relevantes; (</w:t>
      </w:r>
      <w:proofErr w:type="spellStart"/>
      <w:r w:rsidRPr="00F33F41">
        <w:rPr>
          <w:rFonts w:asciiTheme="minorHAnsi" w:hAnsiTheme="minorHAnsi"/>
          <w:sz w:val="22"/>
          <w:szCs w:val="22"/>
        </w:rPr>
        <w:t>ii</w:t>
      </w:r>
      <w:proofErr w:type="spellEnd"/>
      <w:r w:rsidRPr="00F33F41">
        <w:rPr>
          <w:rFonts w:asciiTheme="minorHAnsi" w:hAnsiTheme="minorHAnsi"/>
          <w:sz w:val="22"/>
          <w:szCs w:val="22"/>
        </w:rPr>
        <w:t>) de transação entre partes relacionadas; (</w:t>
      </w:r>
      <w:proofErr w:type="spellStart"/>
      <w:r w:rsidRPr="00F33F41">
        <w:rPr>
          <w:rFonts w:asciiTheme="minorHAnsi" w:hAnsiTheme="minorHAnsi"/>
          <w:sz w:val="22"/>
          <w:szCs w:val="22"/>
        </w:rPr>
        <w:t>iii</w:t>
      </w:r>
      <w:proofErr w:type="spellEnd"/>
      <w:r w:rsidRPr="00F33F41">
        <w:rPr>
          <w:rFonts w:asciiTheme="minorHAnsi" w:hAnsiTheme="minorHAnsi"/>
          <w:sz w:val="22"/>
          <w:szCs w:val="22"/>
        </w:rPr>
        <w:t>) de porta-vozes; (</w:t>
      </w:r>
      <w:proofErr w:type="spellStart"/>
      <w:r w:rsidRPr="00F33F41">
        <w:rPr>
          <w:rFonts w:asciiTheme="minorHAnsi" w:hAnsiTheme="minorHAnsi"/>
          <w:sz w:val="22"/>
          <w:szCs w:val="22"/>
        </w:rPr>
        <w:t>iv</w:t>
      </w:r>
      <w:proofErr w:type="spellEnd"/>
      <w:r w:rsidRPr="00F33F41">
        <w:rPr>
          <w:rFonts w:asciiTheme="minorHAnsi" w:hAnsiTheme="minorHAnsi"/>
          <w:sz w:val="22"/>
          <w:szCs w:val="22"/>
        </w:rPr>
        <w:t xml:space="preserve">) de dividendos; (v) de destinação de resultados; (vi) Compromisso de Desempenho Institucional; e (vi) </w:t>
      </w:r>
      <w:r w:rsidR="00CF507E" w:rsidRPr="00F33F41">
        <w:rPr>
          <w:rFonts w:asciiTheme="minorHAnsi" w:hAnsiTheme="minorHAnsi"/>
          <w:sz w:val="22"/>
          <w:szCs w:val="22"/>
        </w:rPr>
        <w:t>Relatório de Sustentabilidade</w:t>
      </w:r>
      <w:r w:rsidR="00CF507E">
        <w:rPr>
          <w:rFonts w:asciiTheme="minorHAnsi" w:hAnsiTheme="minorHAnsi"/>
          <w:sz w:val="22"/>
          <w:szCs w:val="22"/>
        </w:rPr>
        <w:t xml:space="preserve"> </w:t>
      </w:r>
      <w:r w:rsidRPr="00F33F41">
        <w:rPr>
          <w:rFonts w:asciiTheme="minorHAnsi" w:hAnsiTheme="minorHAnsi"/>
          <w:sz w:val="22"/>
          <w:szCs w:val="22"/>
        </w:rPr>
        <w:t>– além dest</w:t>
      </w:r>
      <w:r w:rsidR="00CF507E">
        <w:rPr>
          <w:rFonts w:asciiTheme="minorHAnsi" w:hAnsiTheme="minorHAnsi"/>
          <w:sz w:val="22"/>
          <w:szCs w:val="22"/>
        </w:rPr>
        <w:t>a</w:t>
      </w:r>
      <w:r w:rsidR="00CF507E" w:rsidRPr="00CF507E">
        <w:rPr>
          <w:rFonts w:asciiTheme="minorHAnsi" w:hAnsiTheme="minorHAnsi"/>
          <w:sz w:val="22"/>
          <w:szCs w:val="22"/>
        </w:rPr>
        <w:t xml:space="preserve"> </w:t>
      </w:r>
      <w:r w:rsidR="00CF507E" w:rsidRPr="00F33F41">
        <w:rPr>
          <w:rFonts w:asciiTheme="minorHAnsi" w:hAnsiTheme="minorHAnsi"/>
          <w:sz w:val="22"/>
          <w:szCs w:val="22"/>
        </w:rPr>
        <w:t>Carta</w:t>
      </w:r>
      <w:r w:rsidRPr="00F33F41">
        <w:rPr>
          <w:rFonts w:asciiTheme="minorHAnsi" w:hAnsiTheme="minorHAnsi"/>
          <w:sz w:val="22"/>
          <w:szCs w:val="22"/>
        </w:rPr>
        <w:t>. As informações, conforme sua matéria, são divulgadas no Diário Oficial do Município, bem como no Jornal Diário Comercial, além de divulgadas no Portal da Transparência da Prefeitura do Município de São Paulo e no site institucional da Companhia.</w:t>
      </w:r>
    </w:p>
    <w:p w14:paraId="4F69AB7C" w14:textId="77777777" w:rsidR="007229E4" w:rsidRDefault="00BF5E41"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sidRPr="00F33F41">
        <w:rPr>
          <w:rFonts w:asciiTheme="minorHAnsi" w:hAnsiTheme="minorHAnsi"/>
          <w:sz w:val="22"/>
          <w:szCs w:val="22"/>
        </w:rPr>
        <w:t>As políticas supramencionadas foram elaboradas em conformidade com a legislação pertinente, destacadamente a Lei nº 13.303, de 2016, e o Decreto Municipal nº 58.093, de 2018.</w:t>
      </w:r>
    </w:p>
    <w:p w14:paraId="23E4917C" w14:textId="77777777" w:rsidR="007229E4" w:rsidRDefault="007229E4">
      <w:pPr>
        <w:rPr>
          <w:rFonts w:eastAsia="Times New Roman" w:cs="Times New Roman"/>
          <w:lang w:eastAsia="pt-BR"/>
        </w:rPr>
      </w:pPr>
      <w:r>
        <w:br w:type="page"/>
      </w:r>
    </w:p>
    <w:p w14:paraId="68079031" w14:textId="77777777" w:rsidR="000F1818" w:rsidRPr="00CF044E" w:rsidRDefault="00CF044E" w:rsidP="00377573">
      <w:pPr>
        <w:pStyle w:val="PargrafodaLista"/>
        <w:numPr>
          <w:ilvl w:val="0"/>
          <w:numId w:val="1"/>
        </w:numPr>
        <w:autoSpaceDE w:val="0"/>
        <w:autoSpaceDN w:val="0"/>
        <w:adjustRightInd w:val="0"/>
        <w:spacing w:before="120" w:after="120" w:line="360" w:lineRule="auto"/>
        <w:ind w:left="0" w:firstLine="0"/>
        <w:contextualSpacing w:val="0"/>
        <w:rPr>
          <w:rFonts w:asciiTheme="minorHAnsi" w:hAnsiTheme="minorHAnsi"/>
          <w:b/>
          <w:sz w:val="22"/>
          <w:szCs w:val="22"/>
        </w:rPr>
      </w:pPr>
      <w:r w:rsidRPr="00CF044E">
        <w:rPr>
          <w:rFonts w:asciiTheme="minorHAnsi" w:hAnsiTheme="minorHAnsi"/>
          <w:b/>
          <w:sz w:val="22"/>
          <w:szCs w:val="22"/>
        </w:rPr>
        <w:lastRenderedPageBreak/>
        <w:t>DESCRIÇÃO DA COMPOSIÇÃO E DA REMUNERAÇÃO DA ADMINISTRAÇÃO</w:t>
      </w:r>
    </w:p>
    <w:p w14:paraId="0533A011" w14:textId="77777777" w:rsidR="00A6309B" w:rsidRDefault="00A6309B"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tbl>
      <w:tblPr>
        <w:tblStyle w:val="Tabelacomgrade"/>
        <w:tblW w:w="0" w:type="auto"/>
        <w:tblLayout w:type="fixed"/>
        <w:tblLook w:val="04A0" w:firstRow="1" w:lastRow="0" w:firstColumn="1" w:lastColumn="0" w:noHBand="0" w:noVBand="1"/>
      </w:tblPr>
      <w:tblGrid>
        <w:gridCol w:w="3652"/>
        <w:gridCol w:w="1843"/>
        <w:gridCol w:w="1533"/>
        <w:gridCol w:w="1692"/>
      </w:tblGrid>
      <w:tr w:rsidR="00CF044E" w14:paraId="72AA1620" w14:textId="77777777" w:rsidTr="00A73E91">
        <w:tc>
          <w:tcPr>
            <w:tcW w:w="3652" w:type="dxa"/>
            <w:tcBorders>
              <w:top w:val="nil"/>
              <w:left w:val="nil"/>
            </w:tcBorders>
            <w:vAlign w:val="center"/>
          </w:tcPr>
          <w:p w14:paraId="28904DBF" w14:textId="77777777" w:rsidR="00CF044E" w:rsidRDefault="00CF044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p>
        </w:tc>
        <w:tc>
          <w:tcPr>
            <w:tcW w:w="5068" w:type="dxa"/>
            <w:gridSpan w:val="3"/>
            <w:shd w:val="clear" w:color="auto" w:fill="ED7D31" w:themeFill="accent2"/>
            <w:vAlign w:val="center"/>
          </w:tcPr>
          <w:p w14:paraId="43035A40" w14:textId="77777777" w:rsidR="00CF044E" w:rsidRPr="00CF044E" w:rsidRDefault="00CF044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b/>
                <w:sz w:val="22"/>
                <w:szCs w:val="22"/>
              </w:rPr>
            </w:pPr>
            <w:r w:rsidRPr="00CF044E">
              <w:rPr>
                <w:rFonts w:asciiTheme="minorHAnsi" w:hAnsiTheme="minorHAnsi"/>
                <w:b/>
                <w:sz w:val="22"/>
                <w:szCs w:val="22"/>
              </w:rPr>
              <w:t>COMPOSIÇÃO DO CONSELHO DE ADMINISTRAÇÃO</w:t>
            </w:r>
          </w:p>
        </w:tc>
      </w:tr>
      <w:tr w:rsidR="00F33F41" w14:paraId="40E8E6FC" w14:textId="77777777" w:rsidTr="00F33F41">
        <w:tc>
          <w:tcPr>
            <w:tcW w:w="3652" w:type="dxa"/>
            <w:shd w:val="clear" w:color="auto" w:fill="D9D9D9" w:themeFill="background1" w:themeFillShade="D9"/>
            <w:vAlign w:val="center"/>
          </w:tcPr>
          <w:p w14:paraId="021FB168" w14:textId="77777777" w:rsidR="00CF044E" w:rsidRPr="00CF044E" w:rsidRDefault="00CF044E" w:rsidP="00F33F41">
            <w:pPr>
              <w:pStyle w:val="PargrafodaLista"/>
              <w:widowControl w:val="0"/>
              <w:autoSpaceDE w:val="0"/>
              <w:autoSpaceDN w:val="0"/>
              <w:adjustRightInd w:val="0"/>
              <w:spacing w:before="60" w:after="60" w:line="240" w:lineRule="auto"/>
              <w:ind w:left="0"/>
              <w:contextualSpacing w:val="0"/>
              <w:rPr>
                <w:rFonts w:asciiTheme="minorHAnsi" w:hAnsiTheme="minorHAnsi"/>
                <w:b/>
                <w:sz w:val="22"/>
                <w:szCs w:val="22"/>
              </w:rPr>
            </w:pPr>
            <w:r w:rsidRPr="00CF044E">
              <w:rPr>
                <w:rFonts w:asciiTheme="minorHAnsi" w:hAnsiTheme="minorHAnsi"/>
                <w:b/>
                <w:sz w:val="22"/>
                <w:szCs w:val="22"/>
              </w:rPr>
              <w:t>CONSELHEIROS</w:t>
            </w:r>
          </w:p>
        </w:tc>
        <w:tc>
          <w:tcPr>
            <w:tcW w:w="1843" w:type="dxa"/>
            <w:shd w:val="clear" w:color="auto" w:fill="D9D9D9" w:themeFill="background1" w:themeFillShade="D9"/>
            <w:vAlign w:val="center"/>
          </w:tcPr>
          <w:p w14:paraId="14E585ED" w14:textId="77777777" w:rsidR="00CF044E" w:rsidRPr="00CF044E" w:rsidRDefault="00CF044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b/>
                <w:sz w:val="22"/>
                <w:szCs w:val="22"/>
              </w:rPr>
            </w:pPr>
            <w:r w:rsidRPr="00CF044E">
              <w:rPr>
                <w:rFonts w:asciiTheme="minorHAnsi" w:hAnsiTheme="minorHAnsi"/>
                <w:b/>
                <w:sz w:val="22"/>
                <w:szCs w:val="22"/>
              </w:rPr>
              <w:t>DE</w:t>
            </w:r>
          </w:p>
        </w:tc>
        <w:tc>
          <w:tcPr>
            <w:tcW w:w="1533" w:type="dxa"/>
            <w:shd w:val="clear" w:color="auto" w:fill="D9D9D9" w:themeFill="background1" w:themeFillShade="D9"/>
            <w:vAlign w:val="center"/>
          </w:tcPr>
          <w:p w14:paraId="444F8FD8" w14:textId="77777777" w:rsidR="00CF044E" w:rsidRPr="00CF044E" w:rsidRDefault="00CF044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b/>
                <w:sz w:val="22"/>
                <w:szCs w:val="22"/>
              </w:rPr>
            </w:pPr>
            <w:r w:rsidRPr="00CF044E">
              <w:rPr>
                <w:rFonts w:asciiTheme="minorHAnsi" w:hAnsiTheme="minorHAnsi"/>
                <w:b/>
                <w:sz w:val="22"/>
                <w:szCs w:val="22"/>
              </w:rPr>
              <w:t>ATÉ</w:t>
            </w:r>
          </w:p>
        </w:tc>
        <w:tc>
          <w:tcPr>
            <w:tcW w:w="1692" w:type="dxa"/>
            <w:shd w:val="clear" w:color="auto" w:fill="D9D9D9" w:themeFill="background1" w:themeFillShade="D9"/>
            <w:vAlign w:val="center"/>
          </w:tcPr>
          <w:p w14:paraId="3B4E2B88" w14:textId="77777777" w:rsidR="00CF044E" w:rsidRPr="00CF044E" w:rsidRDefault="00CF044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b/>
                <w:sz w:val="22"/>
                <w:szCs w:val="22"/>
              </w:rPr>
            </w:pPr>
            <w:r w:rsidRPr="00CF044E">
              <w:rPr>
                <w:rFonts w:asciiTheme="minorHAnsi" w:hAnsiTheme="minorHAnsi"/>
                <w:b/>
                <w:sz w:val="22"/>
                <w:szCs w:val="22"/>
              </w:rPr>
              <w:t>REMUNERAÇÃO</w:t>
            </w:r>
          </w:p>
        </w:tc>
      </w:tr>
      <w:tr w:rsidR="00CF044E" w14:paraId="5EEEBEEC" w14:textId="77777777" w:rsidTr="00A73E91">
        <w:tc>
          <w:tcPr>
            <w:tcW w:w="3652" w:type="dxa"/>
            <w:vAlign w:val="center"/>
          </w:tcPr>
          <w:p w14:paraId="41F21E93" w14:textId="3AF8B410" w:rsidR="00CF044E" w:rsidRPr="002B55B2" w:rsidRDefault="00CC5C60" w:rsidP="00F33F41">
            <w:pPr>
              <w:pStyle w:val="PargrafodaLista"/>
              <w:widowControl w:val="0"/>
              <w:autoSpaceDE w:val="0"/>
              <w:autoSpaceDN w:val="0"/>
              <w:adjustRightInd w:val="0"/>
              <w:spacing w:before="60" w:after="60" w:line="240" w:lineRule="auto"/>
              <w:ind w:left="0"/>
              <w:contextualSpacing w:val="0"/>
              <w:rPr>
                <w:rFonts w:asciiTheme="majorHAnsi" w:hAnsiTheme="majorHAnsi" w:cstheme="majorHAnsi"/>
                <w:sz w:val="22"/>
                <w:szCs w:val="22"/>
              </w:rPr>
            </w:pPr>
            <w:r w:rsidRPr="002B55B2">
              <w:rPr>
                <w:rFonts w:asciiTheme="majorHAnsi" w:hAnsiTheme="majorHAnsi" w:cstheme="majorHAnsi"/>
                <w:sz w:val="22"/>
                <w:szCs w:val="22"/>
              </w:rPr>
              <w:t>Luis Felipe Vidal Arellano</w:t>
            </w:r>
          </w:p>
        </w:tc>
        <w:tc>
          <w:tcPr>
            <w:tcW w:w="1843" w:type="dxa"/>
            <w:vAlign w:val="center"/>
          </w:tcPr>
          <w:p w14:paraId="008BBCC1" w14:textId="7268CB8F" w:rsidR="00CF044E" w:rsidRDefault="00CF044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2</w:t>
            </w:r>
            <w:r w:rsidR="00CC5C60">
              <w:rPr>
                <w:rFonts w:asciiTheme="minorHAnsi" w:hAnsiTheme="minorHAnsi"/>
                <w:sz w:val="22"/>
                <w:szCs w:val="22"/>
              </w:rPr>
              <w:t>6</w:t>
            </w:r>
            <w:r>
              <w:rPr>
                <w:rFonts w:asciiTheme="minorHAnsi" w:hAnsiTheme="minorHAnsi"/>
                <w:sz w:val="22"/>
                <w:szCs w:val="22"/>
              </w:rPr>
              <w:t>/0</w:t>
            </w:r>
            <w:r w:rsidR="00CC5C60">
              <w:rPr>
                <w:rFonts w:asciiTheme="minorHAnsi" w:hAnsiTheme="minorHAnsi"/>
                <w:sz w:val="22"/>
                <w:szCs w:val="22"/>
              </w:rPr>
              <w:t>4</w:t>
            </w:r>
            <w:r>
              <w:rPr>
                <w:rFonts w:asciiTheme="minorHAnsi" w:hAnsiTheme="minorHAnsi"/>
                <w:sz w:val="22"/>
                <w:szCs w:val="22"/>
              </w:rPr>
              <w:t>/201</w:t>
            </w:r>
            <w:r w:rsidR="00CC5C60">
              <w:rPr>
                <w:rFonts w:asciiTheme="minorHAnsi" w:hAnsiTheme="minorHAnsi"/>
                <w:sz w:val="22"/>
                <w:szCs w:val="22"/>
              </w:rPr>
              <w:t>9</w:t>
            </w:r>
          </w:p>
        </w:tc>
        <w:tc>
          <w:tcPr>
            <w:tcW w:w="1533" w:type="dxa"/>
            <w:vAlign w:val="center"/>
          </w:tcPr>
          <w:p w14:paraId="0BD4F94E" w14:textId="365A6D98" w:rsidR="00CF044E" w:rsidRDefault="00CF044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2</w:t>
            </w:r>
            <w:r w:rsidR="00CC5C60">
              <w:rPr>
                <w:rFonts w:asciiTheme="minorHAnsi" w:hAnsiTheme="minorHAnsi"/>
                <w:sz w:val="22"/>
                <w:szCs w:val="22"/>
              </w:rPr>
              <w:t>6</w:t>
            </w:r>
            <w:r>
              <w:rPr>
                <w:rFonts w:asciiTheme="minorHAnsi" w:hAnsiTheme="minorHAnsi"/>
                <w:sz w:val="22"/>
                <w:szCs w:val="22"/>
              </w:rPr>
              <w:t>/04/20</w:t>
            </w:r>
            <w:r w:rsidR="00CC5C60">
              <w:rPr>
                <w:rFonts w:asciiTheme="minorHAnsi" w:hAnsiTheme="minorHAnsi"/>
                <w:sz w:val="22"/>
                <w:szCs w:val="22"/>
              </w:rPr>
              <w:t>21</w:t>
            </w:r>
          </w:p>
        </w:tc>
        <w:tc>
          <w:tcPr>
            <w:tcW w:w="1692" w:type="dxa"/>
            <w:vAlign w:val="center"/>
          </w:tcPr>
          <w:p w14:paraId="046CD9DE" w14:textId="77777777" w:rsidR="00CF044E" w:rsidRDefault="00CF044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R$ </w:t>
            </w:r>
            <w:r w:rsidR="001A6F1C">
              <w:rPr>
                <w:rFonts w:asciiTheme="minorHAnsi" w:hAnsiTheme="minorHAnsi"/>
                <w:sz w:val="22"/>
                <w:szCs w:val="22"/>
              </w:rPr>
              <w:t>6.000</w:t>
            </w:r>
            <w:r>
              <w:rPr>
                <w:rFonts w:asciiTheme="minorHAnsi" w:hAnsiTheme="minorHAnsi"/>
                <w:sz w:val="22"/>
                <w:szCs w:val="22"/>
              </w:rPr>
              <w:t>,00</w:t>
            </w:r>
          </w:p>
        </w:tc>
      </w:tr>
      <w:tr w:rsidR="00A144CE" w14:paraId="34BB9C65" w14:textId="77777777" w:rsidTr="00A144CE">
        <w:tc>
          <w:tcPr>
            <w:tcW w:w="3652" w:type="dxa"/>
            <w:shd w:val="clear" w:color="auto" w:fill="auto"/>
            <w:vAlign w:val="center"/>
          </w:tcPr>
          <w:p w14:paraId="1C37979D" w14:textId="734D6434" w:rsidR="00A144CE" w:rsidRPr="002B55B2" w:rsidRDefault="00A144CE" w:rsidP="00F33F41">
            <w:pPr>
              <w:pStyle w:val="PargrafodaLista"/>
              <w:widowControl w:val="0"/>
              <w:autoSpaceDE w:val="0"/>
              <w:autoSpaceDN w:val="0"/>
              <w:adjustRightInd w:val="0"/>
              <w:spacing w:before="60" w:after="60" w:line="240" w:lineRule="auto"/>
              <w:ind w:left="0"/>
              <w:contextualSpacing w:val="0"/>
              <w:rPr>
                <w:rFonts w:asciiTheme="majorHAnsi" w:hAnsiTheme="majorHAnsi" w:cstheme="majorHAnsi"/>
                <w:sz w:val="22"/>
                <w:szCs w:val="22"/>
              </w:rPr>
            </w:pPr>
            <w:r w:rsidRPr="00A144CE">
              <w:rPr>
                <w:rFonts w:asciiTheme="majorHAnsi" w:hAnsiTheme="majorHAnsi" w:cstheme="majorHAnsi"/>
                <w:sz w:val="22"/>
                <w:szCs w:val="22"/>
              </w:rPr>
              <w:t xml:space="preserve">Alexis </w:t>
            </w:r>
            <w:proofErr w:type="spellStart"/>
            <w:r w:rsidRPr="00A144CE">
              <w:rPr>
                <w:rFonts w:asciiTheme="majorHAnsi" w:hAnsiTheme="majorHAnsi" w:cstheme="majorHAnsi"/>
                <w:sz w:val="22"/>
                <w:szCs w:val="22"/>
              </w:rPr>
              <w:t>Galiás</w:t>
            </w:r>
            <w:proofErr w:type="spellEnd"/>
            <w:r w:rsidRPr="00A144CE">
              <w:rPr>
                <w:rFonts w:asciiTheme="majorHAnsi" w:hAnsiTheme="majorHAnsi" w:cstheme="majorHAnsi"/>
                <w:sz w:val="22"/>
                <w:szCs w:val="22"/>
              </w:rPr>
              <w:t xml:space="preserve"> de Souza Vargas</w:t>
            </w:r>
          </w:p>
        </w:tc>
        <w:tc>
          <w:tcPr>
            <w:tcW w:w="1843" w:type="dxa"/>
            <w:shd w:val="clear" w:color="auto" w:fill="auto"/>
            <w:vAlign w:val="center"/>
          </w:tcPr>
          <w:p w14:paraId="1BC02C24" w14:textId="0D0AFE69" w:rsidR="00A144CE" w:rsidRDefault="00A144C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sidRPr="00C3159F">
              <w:rPr>
                <w:rFonts w:asciiTheme="minorHAnsi" w:hAnsiTheme="minorHAnsi"/>
                <w:sz w:val="22"/>
                <w:szCs w:val="22"/>
              </w:rPr>
              <w:t>23/07/2019</w:t>
            </w:r>
          </w:p>
        </w:tc>
        <w:tc>
          <w:tcPr>
            <w:tcW w:w="1533" w:type="dxa"/>
            <w:shd w:val="clear" w:color="auto" w:fill="auto"/>
            <w:vAlign w:val="center"/>
          </w:tcPr>
          <w:p w14:paraId="366A2D35" w14:textId="0F73F112" w:rsidR="00A144CE" w:rsidRDefault="00A144C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sidRPr="00C3159F">
              <w:rPr>
                <w:rFonts w:asciiTheme="minorHAnsi" w:hAnsiTheme="minorHAnsi"/>
                <w:sz w:val="22"/>
                <w:szCs w:val="22"/>
              </w:rPr>
              <w:t>26/04/2021</w:t>
            </w:r>
          </w:p>
        </w:tc>
        <w:tc>
          <w:tcPr>
            <w:tcW w:w="1692" w:type="dxa"/>
            <w:shd w:val="clear" w:color="auto" w:fill="auto"/>
            <w:vAlign w:val="center"/>
          </w:tcPr>
          <w:p w14:paraId="225512B6" w14:textId="5BACD61B" w:rsidR="00A144CE" w:rsidRDefault="00A144C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sidRPr="00C3159F">
              <w:rPr>
                <w:rFonts w:asciiTheme="minorHAnsi" w:hAnsiTheme="minorHAnsi"/>
                <w:sz w:val="22"/>
                <w:szCs w:val="22"/>
              </w:rPr>
              <w:t>R$ 6.000,00</w:t>
            </w:r>
          </w:p>
        </w:tc>
      </w:tr>
      <w:tr w:rsidR="00CF044E" w14:paraId="54C6FCF6" w14:textId="77777777" w:rsidTr="00A73E91">
        <w:tc>
          <w:tcPr>
            <w:tcW w:w="3652" w:type="dxa"/>
            <w:vAlign w:val="center"/>
          </w:tcPr>
          <w:p w14:paraId="081F5ECF" w14:textId="462B2B72" w:rsidR="00CF044E" w:rsidRPr="002B55B2" w:rsidRDefault="00CC5C60" w:rsidP="00F33F41">
            <w:pPr>
              <w:pStyle w:val="PargrafodaLista"/>
              <w:widowControl w:val="0"/>
              <w:autoSpaceDE w:val="0"/>
              <w:autoSpaceDN w:val="0"/>
              <w:adjustRightInd w:val="0"/>
              <w:spacing w:before="60" w:after="60" w:line="240" w:lineRule="auto"/>
              <w:ind w:left="0"/>
              <w:contextualSpacing w:val="0"/>
              <w:rPr>
                <w:rFonts w:asciiTheme="majorHAnsi" w:hAnsiTheme="majorHAnsi" w:cstheme="majorHAnsi"/>
                <w:sz w:val="22"/>
                <w:szCs w:val="22"/>
              </w:rPr>
            </w:pPr>
            <w:r w:rsidRPr="002B55B2">
              <w:rPr>
                <w:rFonts w:asciiTheme="majorHAnsi" w:hAnsiTheme="majorHAnsi" w:cstheme="majorHAnsi"/>
                <w:sz w:val="22"/>
                <w:szCs w:val="22"/>
              </w:rPr>
              <w:t>Cesar Angel Boffa Azevedo</w:t>
            </w:r>
          </w:p>
        </w:tc>
        <w:tc>
          <w:tcPr>
            <w:tcW w:w="1843" w:type="dxa"/>
            <w:vAlign w:val="center"/>
          </w:tcPr>
          <w:p w14:paraId="3684D8C2" w14:textId="012E9C58" w:rsidR="00CF044E"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26/04/2019</w:t>
            </w:r>
          </w:p>
        </w:tc>
        <w:tc>
          <w:tcPr>
            <w:tcW w:w="1533" w:type="dxa"/>
            <w:vAlign w:val="center"/>
          </w:tcPr>
          <w:p w14:paraId="217C4EBD" w14:textId="74308CF8" w:rsidR="00CF044E"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26/04/2021</w:t>
            </w:r>
          </w:p>
        </w:tc>
        <w:tc>
          <w:tcPr>
            <w:tcW w:w="1692" w:type="dxa"/>
            <w:vAlign w:val="center"/>
          </w:tcPr>
          <w:p w14:paraId="38E56E58" w14:textId="77777777" w:rsidR="00CF044E" w:rsidRDefault="00A6309B"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R$ </w:t>
            </w:r>
            <w:r w:rsidR="00753745">
              <w:rPr>
                <w:rFonts w:asciiTheme="minorHAnsi" w:hAnsiTheme="minorHAnsi"/>
                <w:sz w:val="22"/>
                <w:szCs w:val="22"/>
              </w:rPr>
              <w:t>6.000</w:t>
            </w:r>
            <w:r>
              <w:rPr>
                <w:rFonts w:asciiTheme="minorHAnsi" w:hAnsiTheme="minorHAnsi"/>
                <w:sz w:val="22"/>
                <w:szCs w:val="22"/>
              </w:rPr>
              <w:t>,00</w:t>
            </w:r>
          </w:p>
        </w:tc>
      </w:tr>
      <w:tr w:rsidR="00CF044E" w14:paraId="1A3D4717" w14:textId="77777777" w:rsidTr="00A73E91">
        <w:tc>
          <w:tcPr>
            <w:tcW w:w="3652" w:type="dxa"/>
            <w:vAlign w:val="center"/>
          </w:tcPr>
          <w:p w14:paraId="70E33EC8" w14:textId="059CFE5C" w:rsidR="00CF044E"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sidRPr="00CC5C60">
              <w:rPr>
                <w:rFonts w:asciiTheme="minorHAnsi" w:hAnsiTheme="minorHAnsi"/>
                <w:sz w:val="22"/>
                <w:szCs w:val="22"/>
              </w:rPr>
              <w:t>Cláudia Bice Romano</w:t>
            </w:r>
          </w:p>
        </w:tc>
        <w:tc>
          <w:tcPr>
            <w:tcW w:w="1843" w:type="dxa"/>
            <w:vAlign w:val="center"/>
          </w:tcPr>
          <w:p w14:paraId="58EC818E" w14:textId="72D6BC9A" w:rsidR="00CF044E"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26/04/2019</w:t>
            </w:r>
          </w:p>
        </w:tc>
        <w:tc>
          <w:tcPr>
            <w:tcW w:w="1533" w:type="dxa"/>
            <w:vAlign w:val="center"/>
          </w:tcPr>
          <w:p w14:paraId="04330B04" w14:textId="330E4E17" w:rsidR="00CF044E"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26/04/2021</w:t>
            </w:r>
          </w:p>
        </w:tc>
        <w:tc>
          <w:tcPr>
            <w:tcW w:w="1692" w:type="dxa"/>
            <w:vAlign w:val="center"/>
          </w:tcPr>
          <w:p w14:paraId="353A578B" w14:textId="77777777" w:rsidR="00CF044E" w:rsidRDefault="00A6309B"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R$ </w:t>
            </w:r>
            <w:r w:rsidR="00753745">
              <w:rPr>
                <w:rFonts w:asciiTheme="minorHAnsi" w:hAnsiTheme="minorHAnsi"/>
                <w:sz w:val="22"/>
                <w:szCs w:val="22"/>
              </w:rPr>
              <w:t>6.000</w:t>
            </w:r>
            <w:r>
              <w:rPr>
                <w:rFonts w:asciiTheme="minorHAnsi" w:hAnsiTheme="minorHAnsi"/>
                <w:sz w:val="22"/>
                <w:szCs w:val="22"/>
              </w:rPr>
              <w:t>,00</w:t>
            </w:r>
          </w:p>
        </w:tc>
      </w:tr>
      <w:tr w:rsidR="00CF044E" w14:paraId="5C6C2A6D" w14:textId="77777777" w:rsidTr="00A73E91">
        <w:tc>
          <w:tcPr>
            <w:tcW w:w="3652" w:type="dxa"/>
            <w:vAlign w:val="center"/>
          </w:tcPr>
          <w:p w14:paraId="3BDCFDCB" w14:textId="333028CD" w:rsidR="00CF044E"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sidRPr="00CC5C60">
              <w:rPr>
                <w:rFonts w:asciiTheme="minorHAnsi" w:hAnsiTheme="minorHAnsi"/>
                <w:sz w:val="22"/>
                <w:szCs w:val="22"/>
              </w:rPr>
              <w:t>José Alexandre Pereira de Araújo</w:t>
            </w:r>
          </w:p>
        </w:tc>
        <w:tc>
          <w:tcPr>
            <w:tcW w:w="1843" w:type="dxa"/>
            <w:vAlign w:val="center"/>
          </w:tcPr>
          <w:p w14:paraId="280136AE" w14:textId="599A1F41" w:rsidR="00CF044E"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26/04/2019</w:t>
            </w:r>
          </w:p>
        </w:tc>
        <w:tc>
          <w:tcPr>
            <w:tcW w:w="1533" w:type="dxa"/>
            <w:vAlign w:val="center"/>
          </w:tcPr>
          <w:p w14:paraId="519B7432" w14:textId="08ADF834" w:rsidR="00CF044E"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26/04/2021</w:t>
            </w:r>
          </w:p>
        </w:tc>
        <w:tc>
          <w:tcPr>
            <w:tcW w:w="1692" w:type="dxa"/>
            <w:vAlign w:val="center"/>
          </w:tcPr>
          <w:p w14:paraId="53C58AD7" w14:textId="77777777" w:rsidR="00CF044E" w:rsidRDefault="00A6309B"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R$ </w:t>
            </w:r>
            <w:r w:rsidR="00753745">
              <w:rPr>
                <w:rFonts w:asciiTheme="minorHAnsi" w:hAnsiTheme="minorHAnsi"/>
                <w:sz w:val="22"/>
                <w:szCs w:val="22"/>
              </w:rPr>
              <w:t>6.000</w:t>
            </w:r>
            <w:r>
              <w:rPr>
                <w:rFonts w:asciiTheme="minorHAnsi" w:hAnsiTheme="minorHAnsi"/>
                <w:sz w:val="22"/>
                <w:szCs w:val="22"/>
              </w:rPr>
              <w:t>,00</w:t>
            </w:r>
          </w:p>
        </w:tc>
      </w:tr>
      <w:tr w:rsidR="00CF044E" w14:paraId="396E92ED" w14:textId="77777777" w:rsidTr="00A73E91">
        <w:tc>
          <w:tcPr>
            <w:tcW w:w="3652" w:type="dxa"/>
            <w:tcBorders>
              <w:bottom w:val="single" w:sz="4" w:space="0" w:color="auto"/>
            </w:tcBorders>
            <w:vAlign w:val="center"/>
          </w:tcPr>
          <w:p w14:paraId="3CA48D03" w14:textId="1F9D187A" w:rsidR="00CF044E"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sidRPr="00CC5C60">
              <w:rPr>
                <w:rFonts w:asciiTheme="minorHAnsi" w:hAnsiTheme="minorHAnsi"/>
                <w:sz w:val="22"/>
                <w:szCs w:val="22"/>
              </w:rPr>
              <w:t xml:space="preserve">Malde Maria Vilas Bôas </w:t>
            </w:r>
          </w:p>
        </w:tc>
        <w:tc>
          <w:tcPr>
            <w:tcW w:w="1843" w:type="dxa"/>
            <w:tcBorders>
              <w:bottom w:val="single" w:sz="4" w:space="0" w:color="auto"/>
            </w:tcBorders>
            <w:vAlign w:val="center"/>
          </w:tcPr>
          <w:p w14:paraId="0FC277C5" w14:textId="591650E4" w:rsidR="00CF044E"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26/04/2019</w:t>
            </w:r>
          </w:p>
        </w:tc>
        <w:tc>
          <w:tcPr>
            <w:tcW w:w="1533" w:type="dxa"/>
            <w:tcBorders>
              <w:bottom w:val="single" w:sz="4" w:space="0" w:color="auto"/>
            </w:tcBorders>
            <w:vAlign w:val="center"/>
          </w:tcPr>
          <w:p w14:paraId="32798594" w14:textId="482A2441" w:rsidR="00CF044E"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26/04/2021</w:t>
            </w:r>
          </w:p>
        </w:tc>
        <w:tc>
          <w:tcPr>
            <w:tcW w:w="1692" w:type="dxa"/>
            <w:tcBorders>
              <w:bottom w:val="single" w:sz="4" w:space="0" w:color="auto"/>
            </w:tcBorders>
            <w:vAlign w:val="center"/>
          </w:tcPr>
          <w:p w14:paraId="7B063D67" w14:textId="77777777" w:rsidR="00CF044E" w:rsidRDefault="00A6309B"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R$ </w:t>
            </w:r>
            <w:r w:rsidR="00753745">
              <w:rPr>
                <w:rFonts w:asciiTheme="minorHAnsi" w:hAnsiTheme="minorHAnsi"/>
                <w:sz w:val="22"/>
                <w:szCs w:val="22"/>
              </w:rPr>
              <w:t>6.000</w:t>
            </w:r>
            <w:r>
              <w:rPr>
                <w:rFonts w:asciiTheme="minorHAnsi" w:hAnsiTheme="minorHAnsi"/>
                <w:sz w:val="22"/>
                <w:szCs w:val="22"/>
              </w:rPr>
              <w:t>,00</w:t>
            </w:r>
          </w:p>
        </w:tc>
      </w:tr>
      <w:tr w:rsidR="00CF044E" w14:paraId="642AFEAE" w14:textId="77777777" w:rsidTr="00A73E91">
        <w:tc>
          <w:tcPr>
            <w:tcW w:w="3652" w:type="dxa"/>
            <w:tcBorders>
              <w:bottom w:val="single" w:sz="4" w:space="0" w:color="auto"/>
            </w:tcBorders>
            <w:vAlign w:val="center"/>
          </w:tcPr>
          <w:p w14:paraId="62076756" w14:textId="13BD9AE5" w:rsidR="00CF044E"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sidRPr="00CC5C60">
              <w:rPr>
                <w:rFonts w:asciiTheme="minorHAnsi" w:hAnsiTheme="minorHAnsi"/>
                <w:sz w:val="22"/>
                <w:szCs w:val="22"/>
              </w:rPr>
              <w:t>Vitor de Almeida Sampaio</w:t>
            </w:r>
          </w:p>
        </w:tc>
        <w:tc>
          <w:tcPr>
            <w:tcW w:w="1843" w:type="dxa"/>
            <w:tcBorders>
              <w:bottom w:val="single" w:sz="4" w:space="0" w:color="auto"/>
            </w:tcBorders>
            <w:vAlign w:val="center"/>
          </w:tcPr>
          <w:p w14:paraId="511434E5" w14:textId="6BEC0F64" w:rsidR="00CF044E"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26/04/2019</w:t>
            </w:r>
          </w:p>
        </w:tc>
        <w:tc>
          <w:tcPr>
            <w:tcW w:w="1533" w:type="dxa"/>
            <w:tcBorders>
              <w:bottom w:val="single" w:sz="4" w:space="0" w:color="auto"/>
            </w:tcBorders>
            <w:vAlign w:val="center"/>
          </w:tcPr>
          <w:p w14:paraId="0F3E0930" w14:textId="5A17651D" w:rsidR="00CF044E"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26/04/2021</w:t>
            </w:r>
          </w:p>
        </w:tc>
        <w:tc>
          <w:tcPr>
            <w:tcW w:w="1692" w:type="dxa"/>
            <w:tcBorders>
              <w:bottom w:val="single" w:sz="4" w:space="0" w:color="auto"/>
            </w:tcBorders>
            <w:vAlign w:val="center"/>
          </w:tcPr>
          <w:p w14:paraId="59F341AA" w14:textId="77777777" w:rsidR="00CF044E" w:rsidRDefault="00A6309B"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R$ </w:t>
            </w:r>
            <w:r w:rsidR="00753745">
              <w:rPr>
                <w:rFonts w:asciiTheme="minorHAnsi" w:hAnsiTheme="minorHAnsi"/>
                <w:sz w:val="22"/>
                <w:szCs w:val="22"/>
              </w:rPr>
              <w:t>6.000</w:t>
            </w:r>
            <w:r>
              <w:rPr>
                <w:rFonts w:asciiTheme="minorHAnsi" w:hAnsiTheme="minorHAnsi"/>
                <w:sz w:val="22"/>
                <w:szCs w:val="22"/>
              </w:rPr>
              <w:t>,00</w:t>
            </w:r>
          </w:p>
        </w:tc>
      </w:tr>
      <w:tr w:rsidR="00D95A8D" w14:paraId="2DE43110" w14:textId="77777777" w:rsidTr="00A73E91">
        <w:tc>
          <w:tcPr>
            <w:tcW w:w="3652" w:type="dxa"/>
            <w:tcBorders>
              <w:top w:val="single" w:sz="4" w:space="0" w:color="auto"/>
              <w:left w:val="nil"/>
              <w:bottom w:val="nil"/>
              <w:right w:val="nil"/>
            </w:tcBorders>
            <w:vAlign w:val="center"/>
          </w:tcPr>
          <w:p w14:paraId="607956F0" w14:textId="77777777" w:rsidR="00D95A8D" w:rsidRDefault="00D95A8D"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p>
        </w:tc>
        <w:tc>
          <w:tcPr>
            <w:tcW w:w="1843" w:type="dxa"/>
            <w:tcBorders>
              <w:top w:val="single" w:sz="4" w:space="0" w:color="auto"/>
              <w:left w:val="nil"/>
              <w:bottom w:val="single" w:sz="4" w:space="0" w:color="auto"/>
              <w:right w:val="nil"/>
            </w:tcBorders>
            <w:vAlign w:val="center"/>
          </w:tcPr>
          <w:p w14:paraId="2A092D73" w14:textId="77777777" w:rsidR="00D95A8D" w:rsidRDefault="00D95A8D"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p>
        </w:tc>
        <w:tc>
          <w:tcPr>
            <w:tcW w:w="1533" w:type="dxa"/>
            <w:tcBorders>
              <w:top w:val="single" w:sz="4" w:space="0" w:color="auto"/>
              <w:left w:val="nil"/>
              <w:bottom w:val="single" w:sz="4" w:space="0" w:color="auto"/>
              <w:right w:val="nil"/>
            </w:tcBorders>
            <w:vAlign w:val="center"/>
          </w:tcPr>
          <w:p w14:paraId="3D215CB6" w14:textId="77777777" w:rsidR="00D95A8D" w:rsidRDefault="00D95A8D"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p>
        </w:tc>
        <w:tc>
          <w:tcPr>
            <w:tcW w:w="1692" w:type="dxa"/>
            <w:tcBorders>
              <w:top w:val="single" w:sz="4" w:space="0" w:color="auto"/>
              <w:left w:val="nil"/>
              <w:bottom w:val="single" w:sz="4" w:space="0" w:color="auto"/>
              <w:right w:val="nil"/>
            </w:tcBorders>
            <w:vAlign w:val="center"/>
          </w:tcPr>
          <w:p w14:paraId="43EE73FB" w14:textId="77777777" w:rsidR="00D95A8D" w:rsidRDefault="00D95A8D"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p>
        </w:tc>
      </w:tr>
      <w:tr w:rsidR="00A6309B" w14:paraId="3876EEA4" w14:textId="77777777" w:rsidTr="00A73E91">
        <w:tc>
          <w:tcPr>
            <w:tcW w:w="3652" w:type="dxa"/>
            <w:tcBorders>
              <w:top w:val="nil"/>
              <w:left w:val="nil"/>
            </w:tcBorders>
            <w:vAlign w:val="center"/>
          </w:tcPr>
          <w:p w14:paraId="263AF43A" w14:textId="77777777" w:rsidR="00A6309B" w:rsidRDefault="00A6309B"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p>
        </w:tc>
        <w:tc>
          <w:tcPr>
            <w:tcW w:w="5068" w:type="dxa"/>
            <w:gridSpan w:val="3"/>
            <w:tcBorders>
              <w:top w:val="single" w:sz="4" w:space="0" w:color="auto"/>
            </w:tcBorders>
            <w:shd w:val="clear" w:color="auto" w:fill="ED7D31" w:themeFill="accent2"/>
            <w:vAlign w:val="center"/>
          </w:tcPr>
          <w:p w14:paraId="3EB81E80" w14:textId="77777777" w:rsidR="00A6309B" w:rsidRPr="00CF044E" w:rsidRDefault="00A6309B"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b/>
                <w:sz w:val="22"/>
                <w:szCs w:val="22"/>
              </w:rPr>
            </w:pPr>
            <w:r w:rsidRPr="00CF044E">
              <w:rPr>
                <w:rFonts w:asciiTheme="minorHAnsi" w:hAnsiTheme="minorHAnsi"/>
                <w:b/>
                <w:sz w:val="22"/>
                <w:szCs w:val="22"/>
              </w:rPr>
              <w:t xml:space="preserve">COMPOSIÇÃO DO CONSELHO </w:t>
            </w:r>
            <w:r w:rsidR="00A359CE">
              <w:rPr>
                <w:rFonts w:asciiTheme="minorHAnsi" w:hAnsiTheme="minorHAnsi"/>
                <w:b/>
                <w:sz w:val="22"/>
                <w:szCs w:val="22"/>
              </w:rPr>
              <w:t>FISCAL</w:t>
            </w:r>
          </w:p>
        </w:tc>
      </w:tr>
      <w:tr w:rsidR="00F33F41" w14:paraId="32398B40" w14:textId="77777777" w:rsidTr="00F33F41">
        <w:tc>
          <w:tcPr>
            <w:tcW w:w="3652" w:type="dxa"/>
            <w:shd w:val="clear" w:color="auto" w:fill="D9D9D9" w:themeFill="background1" w:themeFillShade="D9"/>
            <w:vAlign w:val="center"/>
          </w:tcPr>
          <w:p w14:paraId="45ADD0C3" w14:textId="77777777" w:rsidR="00A6309B" w:rsidRPr="00CF044E" w:rsidRDefault="00A6309B" w:rsidP="00F33F41">
            <w:pPr>
              <w:pStyle w:val="PargrafodaLista"/>
              <w:widowControl w:val="0"/>
              <w:autoSpaceDE w:val="0"/>
              <w:autoSpaceDN w:val="0"/>
              <w:adjustRightInd w:val="0"/>
              <w:spacing w:before="60" w:after="60" w:line="240" w:lineRule="auto"/>
              <w:ind w:left="0"/>
              <w:contextualSpacing w:val="0"/>
              <w:rPr>
                <w:rFonts w:asciiTheme="minorHAnsi" w:hAnsiTheme="minorHAnsi"/>
                <w:b/>
                <w:sz w:val="22"/>
                <w:szCs w:val="22"/>
              </w:rPr>
            </w:pPr>
            <w:r w:rsidRPr="00CF044E">
              <w:rPr>
                <w:rFonts w:asciiTheme="minorHAnsi" w:hAnsiTheme="minorHAnsi"/>
                <w:b/>
                <w:sz w:val="22"/>
                <w:szCs w:val="22"/>
              </w:rPr>
              <w:t>CONSELHEIROS</w:t>
            </w:r>
          </w:p>
        </w:tc>
        <w:tc>
          <w:tcPr>
            <w:tcW w:w="1843" w:type="dxa"/>
            <w:shd w:val="clear" w:color="auto" w:fill="D9D9D9" w:themeFill="background1" w:themeFillShade="D9"/>
            <w:vAlign w:val="center"/>
          </w:tcPr>
          <w:p w14:paraId="382E91BF" w14:textId="77777777" w:rsidR="00A6309B" w:rsidRPr="00CF044E" w:rsidRDefault="00A6309B"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b/>
                <w:sz w:val="22"/>
                <w:szCs w:val="22"/>
              </w:rPr>
            </w:pPr>
            <w:r w:rsidRPr="00CF044E">
              <w:rPr>
                <w:rFonts w:asciiTheme="minorHAnsi" w:hAnsiTheme="minorHAnsi"/>
                <w:b/>
                <w:sz w:val="22"/>
                <w:szCs w:val="22"/>
              </w:rPr>
              <w:t>DE</w:t>
            </w:r>
          </w:p>
        </w:tc>
        <w:tc>
          <w:tcPr>
            <w:tcW w:w="1533" w:type="dxa"/>
            <w:shd w:val="clear" w:color="auto" w:fill="D9D9D9" w:themeFill="background1" w:themeFillShade="D9"/>
            <w:vAlign w:val="center"/>
          </w:tcPr>
          <w:p w14:paraId="6D9A1C1C" w14:textId="77777777" w:rsidR="00A6309B" w:rsidRPr="00CF044E" w:rsidRDefault="00A6309B"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b/>
                <w:sz w:val="22"/>
                <w:szCs w:val="22"/>
              </w:rPr>
            </w:pPr>
            <w:r w:rsidRPr="00CF044E">
              <w:rPr>
                <w:rFonts w:asciiTheme="minorHAnsi" w:hAnsiTheme="minorHAnsi"/>
                <w:b/>
                <w:sz w:val="22"/>
                <w:szCs w:val="22"/>
              </w:rPr>
              <w:t>ATÉ</w:t>
            </w:r>
          </w:p>
        </w:tc>
        <w:tc>
          <w:tcPr>
            <w:tcW w:w="1692" w:type="dxa"/>
            <w:shd w:val="clear" w:color="auto" w:fill="D9D9D9" w:themeFill="background1" w:themeFillShade="D9"/>
            <w:vAlign w:val="center"/>
          </w:tcPr>
          <w:p w14:paraId="4C354233" w14:textId="77777777" w:rsidR="00A6309B" w:rsidRPr="00CF044E" w:rsidRDefault="00A6309B"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b/>
                <w:sz w:val="22"/>
                <w:szCs w:val="22"/>
              </w:rPr>
            </w:pPr>
            <w:r w:rsidRPr="00CF044E">
              <w:rPr>
                <w:rFonts w:asciiTheme="minorHAnsi" w:hAnsiTheme="minorHAnsi"/>
                <w:b/>
                <w:sz w:val="22"/>
                <w:szCs w:val="22"/>
              </w:rPr>
              <w:t>REMUNERAÇÃO</w:t>
            </w:r>
          </w:p>
        </w:tc>
      </w:tr>
      <w:tr w:rsidR="00A6309B" w14:paraId="03834875" w14:textId="77777777" w:rsidTr="00A73E91">
        <w:tc>
          <w:tcPr>
            <w:tcW w:w="3652" w:type="dxa"/>
            <w:vAlign w:val="center"/>
          </w:tcPr>
          <w:p w14:paraId="649FDF3A" w14:textId="4E8EF80E" w:rsidR="00A6309B"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sidRPr="00CC5C60">
              <w:rPr>
                <w:rFonts w:asciiTheme="minorHAnsi" w:hAnsiTheme="minorHAnsi"/>
                <w:sz w:val="22"/>
                <w:szCs w:val="22"/>
              </w:rPr>
              <w:t>Rafael Barbosa de Sousa</w:t>
            </w:r>
          </w:p>
        </w:tc>
        <w:tc>
          <w:tcPr>
            <w:tcW w:w="1843" w:type="dxa"/>
            <w:vAlign w:val="center"/>
          </w:tcPr>
          <w:p w14:paraId="6443B120" w14:textId="44966F9E" w:rsidR="00A6309B" w:rsidRDefault="00C3159F"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sidRPr="00C3159F">
              <w:rPr>
                <w:rFonts w:asciiTheme="minorHAnsi" w:hAnsiTheme="minorHAnsi"/>
                <w:sz w:val="22"/>
                <w:szCs w:val="22"/>
              </w:rPr>
              <w:t>30/04/2020</w:t>
            </w:r>
          </w:p>
        </w:tc>
        <w:tc>
          <w:tcPr>
            <w:tcW w:w="1533" w:type="dxa"/>
            <w:vAlign w:val="center"/>
          </w:tcPr>
          <w:p w14:paraId="13EEF889" w14:textId="1C5F9EAF" w:rsidR="00A6309B" w:rsidRDefault="00C3159F"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sidRPr="00C3159F">
              <w:rPr>
                <w:rFonts w:asciiTheme="minorHAnsi" w:hAnsiTheme="minorHAnsi"/>
                <w:sz w:val="22"/>
                <w:szCs w:val="22"/>
              </w:rPr>
              <w:t>30/04/2021</w:t>
            </w:r>
          </w:p>
        </w:tc>
        <w:tc>
          <w:tcPr>
            <w:tcW w:w="1692" w:type="dxa"/>
            <w:vAlign w:val="center"/>
          </w:tcPr>
          <w:p w14:paraId="51C1666D" w14:textId="77777777" w:rsidR="00A6309B" w:rsidRDefault="00A6309B"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R$ </w:t>
            </w:r>
            <w:r w:rsidR="00753745">
              <w:rPr>
                <w:rFonts w:asciiTheme="minorHAnsi" w:hAnsiTheme="minorHAnsi"/>
                <w:sz w:val="22"/>
                <w:szCs w:val="22"/>
              </w:rPr>
              <w:t>3.000</w:t>
            </w:r>
            <w:r>
              <w:rPr>
                <w:rFonts w:asciiTheme="minorHAnsi" w:hAnsiTheme="minorHAnsi"/>
                <w:sz w:val="22"/>
                <w:szCs w:val="22"/>
              </w:rPr>
              <w:t>,00</w:t>
            </w:r>
          </w:p>
        </w:tc>
      </w:tr>
      <w:tr w:rsidR="00C3159F" w14:paraId="7DCAE916" w14:textId="77777777" w:rsidTr="00A73E91">
        <w:tc>
          <w:tcPr>
            <w:tcW w:w="3652" w:type="dxa"/>
            <w:vAlign w:val="center"/>
          </w:tcPr>
          <w:p w14:paraId="633AB61D" w14:textId="79AB6D75" w:rsidR="00C3159F" w:rsidRPr="00CC5C60" w:rsidRDefault="00C3159F"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sidRPr="00C3159F">
              <w:rPr>
                <w:rFonts w:asciiTheme="minorHAnsi" w:hAnsiTheme="minorHAnsi"/>
                <w:sz w:val="22"/>
                <w:szCs w:val="22"/>
              </w:rPr>
              <w:t>Ana Carolina de Campos Honora</w:t>
            </w:r>
          </w:p>
        </w:tc>
        <w:tc>
          <w:tcPr>
            <w:tcW w:w="1843" w:type="dxa"/>
            <w:vAlign w:val="center"/>
          </w:tcPr>
          <w:p w14:paraId="5E696667" w14:textId="50887E30" w:rsidR="00C3159F" w:rsidRDefault="00C3159F"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sidRPr="00C3159F">
              <w:rPr>
                <w:rFonts w:asciiTheme="minorHAnsi" w:hAnsiTheme="minorHAnsi"/>
                <w:sz w:val="22"/>
                <w:szCs w:val="22"/>
              </w:rPr>
              <w:t>30/04/2020</w:t>
            </w:r>
          </w:p>
        </w:tc>
        <w:tc>
          <w:tcPr>
            <w:tcW w:w="1533" w:type="dxa"/>
            <w:vAlign w:val="center"/>
          </w:tcPr>
          <w:p w14:paraId="0C8A5E87" w14:textId="6D2BB370" w:rsidR="00C3159F" w:rsidRDefault="00C3159F"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sidRPr="00C3159F">
              <w:rPr>
                <w:rFonts w:asciiTheme="minorHAnsi" w:hAnsiTheme="minorHAnsi"/>
                <w:sz w:val="22"/>
                <w:szCs w:val="22"/>
              </w:rPr>
              <w:t>30/04/2021</w:t>
            </w:r>
          </w:p>
        </w:tc>
        <w:tc>
          <w:tcPr>
            <w:tcW w:w="1692" w:type="dxa"/>
            <w:vAlign w:val="center"/>
          </w:tcPr>
          <w:p w14:paraId="3359241B" w14:textId="77CF8BC7" w:rsidR="00C3159F" w:rsidRDefault="00C3159F"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sidRPr="00C3159F">
              <w:rPr>
                <w:rFonts w:asciiTheme="minorHAnsi" w:hAnsiTheme="minorHAnsi"/>
                <w:sz w:val="22"/>
                <w:szCs w:val="22"/>
              </w:rPr>
              <w:t>R$ 3.000,00</w:t>
            </w:r>
          </w:p>
        </w:tc>
      </w:tr>
      <w:tr w:rsidR="00A6309B" w14:paraId="43D280F0" w14:textId="77777777" w:rsidTr="00A73E91">
        <w:tc>
          <w:tcPr>
            <w:tcW w:w="3652" w:type="dxa"/>
            <w:vAlign w:val="center"/>
          </w:tcPr>
          <w:p w14:paraId="5E7F5059" w14:textId="43C74720" w:rsidR="00A6309B"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sidRPr="00CC5C60">
              <w:rPr>
                <w:rFonts w:asciiTheme="minorHAnsi" w:hAnsiTheme="minorHAnsi"/>
                <w:sz w:val="22"/>
                <w:szCs w:val="22"/>
              </w:rPr>
              <w:t>Marco Antonio Palermo</w:t>
            </w:r>
          </w:p>
        </w:tc>
        <w:tc>
          <w:tcPr>
            <w:tcW w:w="1843" w:type="dxa"/>
            <w:vAlign w:val="center"/>
          </w:tcPr>
          <w:p w14:paraId="553A47BD" w14:textId="29FBE27D" w:rsidR="00A6309B" w:rsidRDefault="00C3159F"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sidRPr="00C3159F">
              <w:rPr>
                <w:rFonts w:asciiTheme="minorHAnsi" w:hAnsiTheme="minorHAnsi"/>
                <w:sz w:val="22"/>
                <w:szCs w:val="22"/>
              </w:rPr>
              <w:t>30/04/2020</w:t>
            </w:r>
          </w:p>
        </w:tc>
        <w:tc>
          <w:tcPr>
            <w:tcW w:w="1533" w:type="dxa"/>
            <w:vAlign w:val="center"/>
          </w:tcPr>
          <w:p w14:paraId="37DEFC98" w14:textId="584C8EB9" w:rsidR="00A6309B" w:rsidRDefault="00C3159F"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sidRPr="00C3159F">
              <w:rPr>
                <w:rFonts w:asciiTheme="minorHAnsi" w:hAnsiTheme="minorHAnsi"/>
                <w:sz w:val="22"/>
                <w:szCs w:val="22"/>
              </w:rPr>
              <w:t>30/04/2021</w:t>
            </w:r>
          </w:p>
        </w:tc>
        <w:tc>
          <w:tcPr>
            <w:tcW w:w="1692" w:type="dxa"/>
            <w:vAlign w:val="center"/>
          </w:tcPr>
          <w:p w14:paraId="008D3262" w14:textId="77777777" w:rsidR="00A6309B" w:rsidRDefault="00A6309B"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R$ </w:t>
            </w:r>
            <w:r w:rsidR="00753745">
              <w:rPr>
                <w:rFonts w:asciiTheme="minorHAnsi" w:hAnsiTheme="minorHAnsi"/>
                <w:sz w:val="22"/>
                <w:szCs w:val="22"/>
              </w:rPr>
              <w:t>3.000</w:t>
            </w:r>
            <w:r>
              <w:rPr>
                <w:rFonts w:asciiTheme="minorHAnsi" w:hAnsiTheme="minorHAnsi"/>
                <w:sz w:val="22"/>
                <w:szCs w:val="22"/>
              </w:rPr>
              <w:t>,00</w:t>
            </w:r>
          </w:p>
        </w:tc>
      </w:tr>
      <w:tr w:rsidR="00A6309B" w14:paraId="6170FF7B" w14:textId="77777777" w:rsidTr="00A73E91">
        <w:tc>
          <w:tcPr>
            <w:tcW w:w="3652" w:type="dxa"/>
            <w:tcBorders>
              <w:bottom w:val="single" w:sz="4" w:space="0" w:color="auto"/>
            </w:tcBorders>
            <w:vAlign w:val="center"/>
          </w:tcPr>
          <w:p w14:paraId="2C662DB6" w14:textId="6C8C20C5" w:rsidR="00A6309B" w:rsidRDefault="00CC5C60"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sidRPr="00CC5C60">
              <w:rPr>
                <w:rFonts w:asciiTheme="minorHAnsi" w:hAnsiTheme="minorHAnsi"/>
                <w:sz w:val="22"/>
                <w:szCs w:val="22"/>
              </w:rPr>
              <w:t>Thiago Rubio Salvioni</w:t>
            </w:r>
          </w:p>
        </w:tc>
        <w:tc>
          <w:tcPr>
            <w:tcW w:w="1843" w:type="dxa"/>
            <w:tcBorders>
              <w:bottom w:val="single" w:sz="4" w:space="0" w:color="auto"/>
            </w:tcBorders>
            <w:vAlign w:val="center"/>
          </w:tcPr>
          <w:p w14:paraId="66F45B0F" w14:textId="00EDE81F" w:rsidR="00A6309B" w:rsidRDefault="00C3159F"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sidRPr="00C3159F">
              <w:rPr>
                <w:rFonts w:asciiTheme="minorHAnsi" w:hAnsiTheme="minorHAnsi"/>
                <w:sz w:val="22"/>
                <w:szCs w:val="22"/>
              </w:rPr>
              <w:t>30/04/2020</w:t>
            </w:r>
          </w:p>
        </w:tc>
        <w:tc>
          <w:tcPr>
            <w:tcW w:w="1533" w:type="dxa"/>
            <w:tcBorders>
              <w:bottom w:val="single" w:sz="4" w:space="0" w:color="auto"/>
            </w:tcBorders>
            <w:vAlign w:val="center"/>
          </w:tcPr>
          <w:p w14:paraId="47563447" w14:textId="3043289D" w:rsidR="00A6309B" w:rsidRDefault="00C3159F"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sidRPr="00C3159F">
              <w:rPr>
                <w:rFonts w:asciiTheme="minorHAnsi" w:hAnsiTheme="minorHAnsi"/>
                <w:sz w:val="22"/>
                <w:szCs w:val="22"/>
              </w:rPr>
              <w:t>30/04/2021</w:t>
            </w:r>
          </w:p>
        </w:tc>
        <w:tc>
          <w:tcPr>
            <w:tcW w:w="1692" w:type="dxa"/>
            <w:tcBorders>
              <w:bottom w:val="single" w:sz="4" w:space="0" w:color="auto"/>
            </w:tcBorders>
            <w:vAlign w:val="center"/>
          </w:tcPr>
          <w:p w14:paraId="51205BDD" w14:textId="77777777" w:rsidR="00A6309B"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(suplente)</w:t>
            </w:r>
          </w:p>
        </w:tc>
      </w:tr>
      <w:tr w:rsidR="00A359CE" w14:paraId="1A4D2BCD" w14:textId="77777777" w:rsidTr="00A73E91">
        <w:tc>
          <w:tcPr>
            <w:tcW w:w="3652" w:type="dxa"/>
            <w:tcBorders>
              <w:top w:val="single" w:sz="4" w:space="0" w:color="auto"/>
              <w:left w:val="nil"/>
              <w:bottom w:val="nil"/>
              <w:right w:val="nil"/>
            </w:tcBorders>
            <w:vAlign w:val="center"/>
          </w:tcPr>
          <w:p w14:paraId="2F022A9E" w14:textId="77777777" w:rsidR="00A359CE" w:rsidRDefault="00A359C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p>
        </w:tc>
        <w:tc>
          <w:tcPr>
            <w:tcW w:w="1843" w:type="dxa"/>
            <w:tcBorders>
              <w:top w:val="single" w:sz="4" w:space="0" w:color="auto"/>
              <w:left w:val="nil"/>
              <w:bottom w:val="single" w:sz="4" w:space="0" w:color="auto"/>
              <w:right w:val="nil"/>
            </w:tcBorders>
            <w:vAlign w:val="center"/>
          </w:tcPr>
          <w:p w14:paraId="0129BCE1" w14:textId="77777777" w:rsidR="00A359C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p>
        </w:tc>
        <w:tc>
          <w:tcPr>
            <w:tcW w:w="1533" w:type="dxa"/>
            <w:tcBorders>
              <w:top w:val="single" w:sz="4" w:space="0" w:color="auto"/>
              <w:left w:val="nil"/>
              <w:bottom w:val="single" w:sz="4" w:space="0" w:color="auto"/>
              <w:right w:val="nil"/>
            </w:tcBorders>
            <w:vAlign w:val="center"/>
          </w:tcPr>
          <w:p w14:paraId="393FB02C" w14:textId="77777777" w:rsidR="00A359C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p>
        </w:tc>
        <w:tc>
          <w:tcPr>
            <w:tcW w:w="1692" w:type="dxa"/>
            <w:tcBorders>
              <w:top w:val="single" w:sz="4" w:space="0" w:color="auto"/>
              <w:left w:val="nil"/>
              <w:bottom w:val="single" w:sz="4" w:space="0" w:color="auto"/>
              <w:right w:val="nil"/>
            </w:tcBorders>
            <w:vAlign w:val="center"/>
          </w:tcPr>
          <w:p w14:paraId="5B5656CF" w14:textId="77777777" w:rsidR="00A359C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p>
        </w:tc>
      </w:tr>
      <w:tr w:rsidR="00A359CE" w14:paraId="095654BE" w14:textId="77777777" w:rsidTr="00A73E91">
        <w:tc>
          <w:tcPr>
            <w:tcW w:w="3652" w:type="dxa"/>
            <w:tcBorders>
              <w:top w:val="nil"/>
              <w:left w:val="nil"/>
            </w:tcBorders>
            <w:vAlign w:val="center"/>
          </w:tcPr>
          <w:p w14:paraId="1D9620D4" w14:textId="77777777" w:rsidR="00A359CE" w:rsidRDefault="00A359C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p>
        </w:tc>
        <w:tc>
          <w:tcPr>
            <w:tcW w:w="5068" w:type="dxa"/>
            <w:gridSpan w:val="3"/>
            <w:tcBorders>
              <w:top w:val="single" w:sz="4" w:space="0" w:color="auto"/>
            </w:tcBorders>
            <w:shd w:val="clear" w:color="auto" w:fill="ED7D31" w:themeFill="accent2"/>
            <w:vAlign w:val="center"/>
          </w:tcPr>
          <w:p w14:paraId="23763830" w14:textId="77777777" w:rsidR="00A359CE" w:rsidRPr="00CF044E" w:rsidRDefault="001A6F1C"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b/>
                <w:sz w:val="22"/>
                <w:szCs w:val="22"/>
              </w:rPr>
            </w:pPr>
            <w:r>
              <w:rPr>
                <w:rFonts w:asciiTheme="minorHAnsi" w:hAnsiTheme="minorHAnsi"/>
                <w:b/>
                <w:sz w:val="22"/>
                <w:szCs w:val="22"/>
              </w:rPr>
              <w:t>TABELA DE CARGOS E SALÁRIOS</w:t>
            </w:r>
          </w:p>
        </w:tc>
      </w:tr>
      <w:tr w:rsidR="00A359CE" w14:paraId="3049B714" w14:textId="77777777" w:rsidTr="00A73E91">
        <w:tc>
          <w:tcPr>
            <w:tcW w:w="3652" w:type="dxa"/>
            <w:shd w:val="clear" w:color="auto" w:fill="D9D9D9" w:themeFill="background1" w:themeFillShade="D9"/>
            <w:vAlign w:val="center"/>
          </w:tcPr>
          <w:p w14:paraId="4FFDC58E" w14:textId="77777777" w:rsidR="00A359CE" w:rsidRPr="00CF044E" w:rsidRDefault="00A359CE" w:rsidP="00F33F41">
            <w:pPr>
              <w:pStyle w:val="PargrafodaLista"/>
              <w:widowControl w:val="0"/>
              <w:autoSpaceDE w:val="0"/>
              <w:autoSpaceDN w:val="0"/>
              <w:adjustRightInd w:val="0"/>
              <w:spacing w:before="60" w:after="60" w:line="240" w:lineRule="auto"/>
              <w:ind w:left="0"/>
              <w:contextualSpacing w:val="0"/>
              <w:rPr>
                <w:rFonts w:asciiTheme="minorHAnsi" w:hAnsiTheme="minorHAnsi"/>
                <w:b/>
                <w:sz w:val="22"/>
                <w:szCs w:val="22"/>
              </w:rPr>
            </w:pPr>
            <w:r>
              <w:rPr>
                <w:rFonts w:asciiTheme="minorHAnsi" w:hAnsiTheme="minorHAnsi"/>
                <w:b/>
                <w:sz w:val="22"/>
                <w:szCs w:val="22"/>
              </w:rPr>
              <w:t>DIRETORES</w:t>
            </w:r>
          </w:p>
        </w:tc>
        <w:tc>
          <w:tcPr>
            <w:tcW w:w="3376" w:type="dxa"/>
            <w:gridSpan w:val="2"/>
            <w:shd w:val="clear" w:color="auto" w:fill="D9D9D9" w:themeFill="background1" w:themeFillShade="D9"/>
            <w:vAlign w:val="center"/>
          </w:tcPr>
          <w:p w14:paraId="5590ABD5" w14:textId="77777777" w:rsidR="00A359CE" w:rsidRPr="00CF044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b/>
                <w:sz w:val="22"/>
                <w:szCs w:val="22"/>
              </w:rPr>
            </w:pPr>
            <w:r w:rsidRPr="00CF044E">
              <w:rPr>
                <w:rFonts w:asciiTheme="minorHAnsi" w:hAnsiTheme="minorHAnsi"/>
                <w:b/>
                <w:sz w:val="22"/>
                <w:szCs w:val="22"/>
              </w:rPr>
              <w:t>REMUNERAÇÃO</w:t>
            </w:r>
          </w:p>
        </w:tc>
        <w:tc>
          <w:tcPr>
            <w:tcW w:w="1692" w:type="dxa"/>
            <w:shd w:val="clear" w:color="auto" w:fill="D9D9D9" w:themeFill="background1" w:themeFillShade="D9"/>
            <w:vAlign w:val="center"/>
          </w:tcPr>
          <w:p w14:paraId="2A1CDCA7" w14:textId="77777777" w:rsidR="00A359CE" w:rsidRPr="00CF044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b/>
                <w:sz w:val="22"/>
                <w:szCs w:val="22"/>
              </w:rPr>
            </w:pPr>
            <w:r>
              <w:rPr>
                <w:rFonts w:asciiTheme="minorHAnsi" w:hAnsiTheme="minorHAnsi"/>
                <w:b/>
                <w:sz w:val="22"/>
                <w:szCs w:val="22"/>
              </w:rPr>
              <w:t>QUANTIDADE</w:t>
            </w:r>
          </w:p>
        </w:tc>
      </w:tr>
      <w:tr w:rsidR="00A359CE" w14:paraId="576BF74C" w14:textId="77777777" w:rsidTr="00A73E91">
        <w:tc>
          <w:tcPr>
            <w:tcW w:w="3652" w:type="dxa"/>
            <w:vAlign w:val="center"/>
          </w:tcPr>
          <w:p w14:paraId="17014DE3" w14:textId="77777777" w:rsidR="00A359CE" w:rsidRDefault="00A359C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Diretor Presidente</w:t>
            </w:r>
            <w:r w:rsidR="00EB19F0">
              <w:rPr>
                <w:rFonts w:asciiTheme="minorHAnsi" w:hAnsiTheme="minorHAnsi"/>
                <w:sz w:val="22"/>
                <w:szCs w:val="22"/>
              </w:rPr>
              <w:t xml:space="preserve"> e Jurídico**</w:t>
            </w:r>
          </w:p>
        </w:tc>
        <w:tc>
          <w:tcPr>
            <w:tcW w:w="3376" w:type="dxa"/>
            <w:gridSpan w:val="2"/>
            <w:vAlign w:val="center"/>
          </w:tcPr>
          <w:p w14:paraId="2815CC37" w14:textId="77777777" w:rsidR="00A359C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R$ 19.500,00</w:t>
            </w:r>
          </w:p>
        </w:tc>
        <w:tc>
          <w:tcPr>
            <w:tcW w:w="1692" w:type="dxa"/>
            <w:vAlign w:val="center"/>
          </w:tcPr>
          <w:p w14:paraId="67483025" w14:textId="77777777" w:rsidR="00A359C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01</w:t>
            </w:r>
          </w:p>
        </w:tc>
      </w:tr>
      <w:tr w:rsidR="00A359CE" w14:paraId="306B5801" w14:textId="77777777" w:rsidTr="00A73E91">
        <w:tc>
          <w:tcPr>
            <w:tcW w:w="3652" w:type="dxa"/>
            <w:vAlign w:val="center"/>
          </w:tcPr>
          <w:p w14:paraId="63FB021D" w14:textId="77777777" w:rsidR="00A359CE" w:rsidRDefault="00A359C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Diretor Administrativo Financeiro</w:t>
            </w:r>
          </w:p>
        </w:tc>
        <w:tc>
          <w:tcPr>
            <w:tcW w:w="3376" w:type="dxa"/>
            <w:gridSpan w:val="2"/>
            <w:vAlign w:val="center"/>
          </w:tcPr>
          <w:p w14:paraId="2F8CF4C4" w14:textId="77777777" w:rsidR="00A359C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R$ 18.500,00</w:t>
            </w:r>
          </w:p>
        </w:tc>
        <w:tc>
          <w:tcPr>
            <w:tcW w:w="1692" w:type="dxa"/>
            <w:vAlign w:val="center"/>
          </w:tcPr>
          <w:p w14:paraId="4D96E210" w14:textId="77777777" w:rsidR="00A359C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01</w:t>
            </w:r>
          </w:p>
        </w:tc>
      </w:tr>
      <w:tr w:rsidR="00A359CE" w14:paraId="77982EEB" w14:textId="77777777" w:rsidTr="00A73E91">
        <w:tc>
          <w:tcPr>
            <w:tcW w:w="3652" w:type="dxa"/>
            <w:vAlign w:val="center"/>
          </w:tcPr>
          <w:p w14:paraId="211BF030" w14:textId="77777777" w:rsidR="00A359CE" w:rsidRDefault="00A359C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Diretor Jurídico</w:t>
            </w:r>
            <w:r w:rsidR="00EB19F0">
              <w:rPr>
                <w:rFonts w:asciiTheme="minorHAnsi" w:hAnsiTheme="minorHAnsi"/>
                <w:sz w:val="22"/>
                <w:szCs w:val="22"/>
              </w:rPr>
              <w:t>**</w:t>
            </w:r>
          </w:p>
        </w:tc>
        <w:tc>
          <w:tcPr>
            <w:tcW w:w="3376" w:type="dxa"/>
            <w:gridSpan w:val="2"/>
            <w:vAlign w:val="center"/>
          </w:tcPr>
          <w:p w14:paraId="47DA2266" w14:textId="110C7135" w:rsidR="00A359C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R$ 0,00</w:t>
            </w:r>
          </w:p>
        </w:tc>
        <w:tc>
          <w:tcPr>
            <w:tcW w:w="1692" w:type="dxa"/>
            <w:vAlign w:val="center"/>
          </w:tcPr>
          <w:p w14:paraId="16668F67" w14:textId="77777777" w:rsidR="00A359C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01</w:t>
            </w:r>
          </w:p>
        </w:tc>
      </w:tr>
      <w:tr w:rsidR="00A359CE" w14:paraId="41464EE6" w14:textId="77777777" w:rsidTr="00A73E91">
        <w:tc>
          <w:tcPr>
            <w:tcW w:w="3652" w:type="dxa"/>
            <w:vAlign w:val="center"/>
          </w:tcPr>
          <w:p w14:paraId="244CD8AC" w14:textId="77777777" w:rsidR="00A359CE" w:rsidRDefault="00A359C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Assessor IV</w:t>
            </w:r>
          </w:p>
        </w:tc>
        <w:tc>
          <w:tcPr>
            <w:tcW w:w="3376" w:type="dxa"/>
            <w:gridSpan w:val="2"/>
            <w:vAlign w:val="center"/>
          </w:tcPr>
          <w:p w14:paraId="3320F628" w14:textId="255FBC5F" w:rsidR="00A359C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R$ </w:t>
            </w:r>
            <w:r w:rsidR="00EB19F0" w:rsidRPr="00EB19F0">
              <w:rPr>
                <w:rFonts w:asciiTheme="minorHAnsi" w:hAnsiTheme="minorHAnsi"/>
                <w:sz w:val="22"/>
                <w:szCs w:val="22"/>
              </w:rPr>
              <w:t>16.410,76</w:t>
            </w:r>
            <w:r w:rsidR="001A6F1C">
              <w:rPr>
                <w:rFonts w:asciiTheme="minorHAnsi" w:hAnsiTheme="minorHAnsi"/>
                <w:sz w:val="22"/>
                <w:szCs w:val="22"/>
              </w:rPr>
              <w:t>*</w:t>
            </w:r>
          </w:p>
        </w:tc>
        <w:tc>
          <w:tcPr>
            <w:tcW w:w="1692" w:type="dxa"/>
            <w:vAlign w:val="center"/>
          </w:tcPr>
          <w:p w14:paraId="129034CD" w14:textId="77777777" w:rsidR="00A359C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02</w:t>
            </w:r>
          </w:p>
        </w:tc>
      </w:tr>
      <w:tr w:rsidR="00A359CE" w14:paraId="17FA91EC" w14:textId="77777777" w:rsidTr="00A73E91">
        <w:tc>
          <w:tcPr>
            <w:tcW w:w="3652" w:type="dxa"/>
            <w:vAlign w:val="center"/>
          </w:tcPr>
          <w:p w14:paraId="414DB0C3" w14:textId="77777777" w:rsidR="00A359CE" w:rsidRDefault="00A359C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Assessor III</w:t>
            </w:r>
          </w:p>
        </w:tc>
        <w:tc>
          <w:tcPr>
            <w:tcW w:w="3376" w:type="dxa"/>
            <w:gridSpan w:val="2"/>
            <w:vAlign w:val="center"/>
          </w:tcPr>
          <w:p w14:paraId="5C82EF32" w14:textId="64CA523D" w:rsidR="00A359CE" w:rsidRDefault="001A6F1C"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R$ </w:t>
            </w:r>
            <w:r w:rsidR="00EB19F0" w:rsidRPr="00EB19F0">
              <w:rPr>
                <w:rFonts w:asciiTheme="minorHAnsi" w:hAnsiTheme="minorHAnsi"/>
                <w:sz w:val="22"/>
                <w:szCs w:val="22"/>
              </w:rPr>
              <w:t>13.761,89</w:t>
            </w:r>
            <w:r>
              <w:rPr>
                <w:rFonts w:asciiTheme="minorHAnsi" w:hAnsiTheme="minorHAnsi"/>
                <w:sz w:val="22"/>
                <w:szCs w:val="22"/>
              </w:rPr>
              <w:t>*</w:t>
            </w:r>
          </w:p>
        </w:tc>
        <w:tc>
          <w:tcPr>
            <w:tcW w:w="1692" w:type="dxa"/>
            <w:vAlign w:val="center"/>
          </w:tcPr>
          <w:p w14:paraId="261F4082" w14:textId="77777777" w:rsidR="00A359C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01</w:t>
            </w:r>
          </w:p>
        </w:tc>
      </w:tr>
      <w:tr w:rsidR="00A359CE" w14:paraId="321E9A15" w14:textId="77777777" w:rsidTr="00A73E91">
        <w:tc>
          <w:tcPr>
            <w:tcW w:w="3652" w:type="dxa"/>
            <w:vAlign w:val="center"/>
          </w:tcPr>
          <w:p w14:paraId="02BCC449" w14:textId="77777777" w:rsidR="00A359CE" w:rsidRDefault="00A359C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Assessor II</w:t>
            </w:r>
          </w:p>
        </w:tc>
        <w:tc>
          <w:tcPr>
            <w:tcW w:w="3376" w:type="dxa"/>
            <w:gridSpan w:val="2"/>
            <w:vAlign w:val="center"/>
          </w:tcPr>
          <w:p w14:paraId="1EC2C4D1" w14:textId="40C1E42C" w:rsidR="00A359CE" w:rsidRDefault="001A6F1C"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R$ </w:t>
            </w:r>
            <w:r w:rsidR="00EB19F0" w:rsidRPr="00EB19F0">
              <w:rPr>
                <w:rFonts w:asciiTheme="minorHAnsi" w:hAnsiTheme="minorHAnsi"/>
                <w:sz w:val="22"/>
                <w:szCs w:val="22"/>
              </w:rPr>
              <w:t>11.049,75</w:t>
            </w:r>
            <w:r>
              <w:rPr>
                <w:rFonts w:asciiTheme="minorHAnsi" w:hAnsiTheme="minorHAnsi"/>
                <w:sz w:val="22"/>
                <w:szCs w:val="22"/>
              </w:rPr>
              <w:t>*</w:t>
            </w:r>
          </w:p>
        </w:tc>
        <w:tc>
          <w:tcPr>
            <w:tcW w:w="1692" w:type="dxa"/>
            <w:vAlign w:val="center"/>
          </w:tcPr>
          <w:p w14:paraId="3105446B" w14:textId="77777777" w:rsidR="00A359C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01</w:t>
            </w:r>
          </w:p>
        </w:tc>
      </w:tr>
      <w:tr w:rsidR="00A359CE" w14:paraId="45F66EE3" w14:textId="77777777" w:rsidTr="00A73E91">
        <w:tc>
          <w:tcPr>
            <w:tcW w:w="3652" w:type="dxa"/>
            <w:vAlign w:val="center"/>
          </w:tcPr>
          <w:p w14:paraId="5B09EFF8" w14:textId="77777777" w:rsidR="00A359CE" w:rsidRDefault="00A359CE" w:rsidP="00F33F41">
            <w:pPr>
              <w:pStyle w:val="PargrafodaLista"/>
              <w:widowControl w:val="0"/>
              <w:autoSpaceDE w:val="0"/>
              <w:autoSpaceDN w:val="0"/>
              <w:adjustRightInd w:val="0"/>
              <w:spacing w:before="60" w:after="60" w:line="240" w:lineRule="auto"/>
              <w:ind w:left="0"/>
              <w:contextualSpacing w:val="0"/>
              <w:rPr>
                <w:rFonts w:asciiTheme="minorHAnsi" w:hAnsiTheme="minorHAnsi"/>
                <w:sz w:val="22"/>
                <w:szCs w:val="22"/>
              </w:rPr>
            </w:pPr>
            <w:r>
              <w:rPr>
                <w:rFonts w:asciiTheme="minorHAnsi" w:hAnsiTheme="minorHAnsi"/>
                <w:sz w:val="22"/>
                <w:szCs w:val="22"/>
              </w:rPr>
              <w:t>Assessor I</w:t>
            </w:r>
          </w:p>
        </w:tc>
        <w:tc>
          <w:tcPr>
            <w:tcW w:w="3376" w:type="dxa"/>
            <w:gridSpan w:val="2"/>
            <w:vAlign w:val="center"/>
          </w:tcPr>
          <w:p w14:paraId="2747DCDB" w14:textId="695B490B" w:rsidR="00A359CE" w:rsidRDefault="001A6F1C"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R$ </w:t>
            </w:r>
            <w:r w:rsidR="00EB19F0" w:rsidRPr="00EB19F0">
              <w:rPr>
                <w:rFonts w:asciiTheme="minorHAnsi" w:hAnsiTheme="minorHAnsi"/>
                <w:sz w:val="22"/>
                <w:szCs w:val="22"/>
              </w:rPr>
              <w:t>8.202,02</w:t>
            </w:r>
            <w:r>
              <w:rPr>
                <w:rFonts w:asciiTheme="minorHAnsi" w:hAnsiTheme="minorHAnsi"/>
                <w:sz w:val="22"/>
                <w:szCs w:val="22"/>
              </w:rPr>
              <w:t>*</w:t>
            </w:r>
          </w:p>
        </w:tc>
        <w:tc>
          <w:tcPr>
            <w:tcW w:w="1692" w:type="dxa"/>
            <w:vAlign w:val="center"/>
          </w:tcPr>
          <w:p w14:paraId="0AF07648" w14:textId="77777777" w:rsidR="00A359CE" w:rsidRDefault="00A359CE" w:rsidP="00F33F41">
            <w:pPr>
              <w:pStyle w:val="PargrafodaLista"/>
              <w:widowControl w:val="0"/>
              <w:autoSpaceDE w:val="0"/>
              <w:autoSpaceDN w:val="0"/>
              <w:adjustRightInd w:val="0"/>
              <w:spacing w:before="60" w:after="60" w:line="240" w:lineRule="auto"/>
              <w:ind w:left="0"/>
              <w:contextualSpacing w:val="0"/>
              <w:jc w:val="center"/>
              <w:rPr>
                <w:rFonts w:asciiTheme="minorHAnsi" w:hAnsiTheme="minorHAnsi"/>
                <w:sz w:val="22"/>
                <w:szCs w:val="22"/>
              </w:rPr>
            </w:pPr>
            <w:r>
              <w:rPr>
                <w:rFonts w:asciiTheme="minorHAnsi" w:hAnsiTheme="minorHAnsi"/>
                <w:sz w:val="22"/>
                <w:szCs w:val="22"/>
              </w:rPr>
              <w:t>01</w:t>
            </w:r>
          </w:p>
        </w:tc>
      </w:tr>
    </w:tbl>
    <w:p w14:paraId="1A08E64A" w14:textId="77777777" w:rsidR="00CF044E" w:rsidRDefault="001A6F1C"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Pr>
          <w:rFonts w:asciiTheme="minorHAnsi" w:hAnsiTheme="minorHAnsi"/>
          <w:sz w:val="22"/>
          <w:szCs w:val="22"/>
        </w:rPr>
        <w:t>*Salário Base</w:t>
      </w:r>
    </w:p>
    <w:p w14:paraId="627766F8" w14:textId="77777777" w:rsidR="00EB19F0" w:rsidRDefault="00EB19F0"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r>
        <w:rPr>
          <w:rFonts w:asciiTheme="minorHAnsi" w:hAnsiTheme="minorHAnsi"/>
          <w:sz w:val="22"/>
          <w:szCs w:val="22"/>
        </w:rPr>
        <w:t>**</w:t>
      </w:r>
      <w:r w:rsidRPr="00EB19F0">
        <w:rPr>
          <w:rFonts w:asciiTheme="minorHAnsi" w:hAnsiTheme="minorHAnsi"/>
          <w:sz w:val="22"/>
          <w:szCs w:val="22"/>
        </w:rPr>
        <w:t xml:space="preserve">Desde dezembro/2018 o Diretor Presidente acumula a Função </w:t>
      </w:r>
      <w:r>
        <w:rPr>
          <w:rFonts w:asciiTheme="minorHAnsi" w:hAnsiTheme="minorHAnsi"/>
          <w:sz w:val="22"/>
          <w:szCs w:val="22"/>
        </w:rPr>
        <w:t>de Diretor Jurídico</w:t>
      </w:r>
      <w:r w:rsidRPr="00EB19F0">
        <w:rPr>
          <w:rFonts w:asciiTheme="minorHAnsi" w:hAnsiTheme="minorHAnsi"/>
          <w:sz w:val="22"/>
          <w:szCs w:val="22"/>
        </w:rPr>
        <w:t>.</w:t>
      </w:r>
    </w:p>
    <w:p w14:paraId="19B619E1" w14:textId="77777777" w:rsidR="00663522" w:rsidRDefault="00663522"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sectPr w:rsidR="00663522" w:rsidSect="00E43367">
          <w:headerReference w:type="default" r:id="rId9"/>
          <w:footerReference w:type="default" r:id="rId10"/>
          <w:headerReference w:type="first" r:id="rId11"/>
          <w:footerReference w:type="first" r:id="rId12"/>
          <w:pgSz w:w="11906" w:h="16838"/>
          <w:pgMar w:top="1417" w:right="1701" w:bottom="1417" w:left="1701" w:header="708" w:footer="708" w:gutter="0"/>
          <w:cols w:space="708"/>
          <w:titlePg/>
          <w:docGrid w:linePitch="360"/>
        </w:sectPr>
      </w:pPr>
    </w:p>
    <w:p w14:paraId="7A0B81C9" w14:textId="77777777" w:rsidR="00663522" w:rsidRPr="00F87D69" w:rsidRDefault="00F87D69" w:rsidP="00377573">
      <w:pPr>
        <w:pStyle w:val="PargrafodaLista"/>
        <w:autoSpaceDE w:val="0"/>
        <w:autoSpaceDN w:val="0"/>
        <w:adjustRightInd w:val="0"/>
        <w:spacing w:before="120" w:after="120" w:line="360" w:lineRule="auto"/>
        <w:ind w:left="0"/>
        <w:contextualSpacing w:val="0"/>
        <w:jc w:val="center"/>
        <w:rPr>
          <w:rFonts w:asciiTheme="minorHAnsi" w:hAnsiTheme="minorHAnsi"/>
          <w:b/>
          <w:sz w:val="22"/>
          <w:szCs w:val="22"/>
        </w:rPr>
      </w:pPr>
      <w:r w:rsidRPr="00F87D69">
        <w:rPr>
          <w:rFonts w:asciiTheme="minorHAnsi" w:hAnsiTheme="minorHAnsi"/>
          <w:b/>
          <w:sz w:val="22"/>
          <w:szCs w:val="22"/>
        </w:rPr>
        <w:lastRenderedPageBreak/>
        <w:t>Anexo I</w:t>
      </w:r>
    </w:p>
    <w:p w14:paraId="267EECF0" w14:textId="77777777" w:rsidR="00F87D69" w:rsidRDefault="00F87D69" w:rsidP="00813BE5">
      <w:pPr>
        <w:pStyle w:val="PargrafodaLista"/>
        <w:autoSpaceDE w:val="0"/>
        <w:autoSpaceDN w:val="0"/>
        <w:adjustRightInd w:val="0"/>
        <w:spacing w:line="360" w:lineRule="auto"/>
        <w:ind w:left="0"/>
        <w:contextualSpacing w:val="0"/>
        <w:jc w:val="center"/>
        <w:rPr>
          <w:rFonts w:asciiTheme="minorHAnsi" w:hAnsiTheme="minorHAnsi"/>
          <w:sz w:val="22"/>
          <w:szCs w:val="22"/>
        </w:rPr>
      </w:pPr>
    </w:p>
    <w:tbl>
      <w:tblPr>
        <w:tblStyle w:val="SombreamentoClaro2"/>
        <w:tblW w:w="15260" w:type="dxa"/>
        <w:tblInd w:w="-743" w:type="dxa"/>
        <w:tblLayout w:type="fixed"/>
        <w:tblLook w:val="04A0" w:firstRow="1" w:lastRow="0" w:firstColumn="1" w:lastColumn="0" w:noHBand="0" w:noVBand="1"/>
      </w:tblPr>
      <w:tblGrid>
        <w:gridCol w:w="1280"/>
        <w:gridCol w:w="358"/>
        <w:gridCol w:w="105"/>
        <w:gridCol w:w="6171"/>
        <w:gridCol w:w="151"/>
        <w:gridCol w:w="126"/>
        <w:gridCol w:w="1024"/>
        <w:gridCol w:w="165"/>
        <w:gridCol w:w="370"/>
        <w:gridCol w:w="1046"/>
        <w:gridCol w:w="145"/>
        <w:gridCol w:w="239"/>
        <w:gridCol w:w="632"/>
        <w:gridCol w:w="317"/>
        <w:gridCol w:w="2614"/>
        <w:gridCol w:w="425"/>
        <w:gridCol w:w="92"/>
      </w:tblGrid>
      <w:tr w:rsidR="00684625" w14:paraId="278917AA" w14:textId="77777777" w:rsidTr="00A73E91">
        <w:trPr>
          <w:gridAfter w:val="2"/>
          <w:cnfStyle w:val="100000000000" w:firstRow="1" w:lastRow="0" w:firstColumn="0" w:lastColumn="0" w:oddVBand="0" w:evenVBand="0" w:oddHBand="0" w:evenHBand="0" w:firstRowFirstColumn="0" w:firstRowLastColumn="0" w:lastRowFirstColumn="0" w:lastRowLastColumn="0"/>
          <w:wAfter w:w="517" w:type="dxa"/>
        </w:trPr>
        <w:tc>
          <w:tcPr>
            <w:cnfStyle w:val="001000000000" w:firstRow="0" w:lastRow="0" w:firstColumn="1" w:lastColumn="0" w:oddVBand="0" w:evenVBand="0" w:oddHBand="0" w:evenHBand="0" w:firstRowFirstColumn="0" w:firstRowLastColumn="0" w:lastRowFirstColumn="0" w:lastRowLastColumn="0"/>
            <w:tcW w:w="1280" w:type="dxa"/>
            <w:vAlign w:val="center"/>
          </w:tcPr>
          <w:p w14:paraId="6E5482D5" w14:textId="77777777" w:rsidR="00C73070" w:rsidRDefault="00C73070" w:rsidP="00377573">
            <w:pPr>
              <w:spacing w:line="360" w:lineRule="auto"/>
              <w:jc w:val="center"/>
            </w:pPr>
            <w:r>
              <w:t>Produto</w:t>
            </w:r>
          </w:p>
        </w:tc>
        <w:tc>
          <w:tcPr>
            <w:tcW w:w="6785" w:type="dxa"/>
            <w:gridSpan w:val="4"/>
            <w:vAlign w:val="center"/>
          </w:tcPr>
          <w:p w14:paraId="3B2C28CE" w14:textId="6E0E1BC3" w:rsidR="00C73070" w:rsidRDefault="00C73070" w:rsidP="00377573">
            <w:pPr>
              <w:spacing w:line="360" w:lineRule="auto"/>
              <w:ind w:left="-153" w:right="-466" w:firstLine="153"/>
              <w:jc w:val="center"/>
              <w:cnfStyle w:val="100000000000" w:firstRow="1" w:lastRow="0" w:firstColumn="0" w:lastColumn="0" w:oddVBand="0" w:evenVBand="0" w:oddHBand="0" w:evenHBand="0" w:firstRowFirstColumn="0" w:firstRowLastColumn="0" w:lastRowFirstColumn="0" w:lastRowLastColumn="0"/>
            </w:pPr>
            <w:r>
              <w:t>Descrição</w:t>
            </w:r>
          </w:p>
        </w:tc>
        <w:tc>
          <w:tcPr>
            <w:tcW w:w="1150" w:type="dxa"/>
            <w:gridSpan w:val="2"/>
            <w:vAlign w:val="center"/>
          </w:tcPr>
          <w:p w14:paraId="28263164" w14:textId="2E4BEFD7" w:rsidR="00C73070" w:rsidRDefault="00C73070" w:rsidP="00CA509B">
            <w:pPr>
              <w:spacing w:line="360" w:lineRule="auto"/>
              <w:ind w:right="176"/>
              <w:jc w:val="center"/>
              <w:cnfStyle w:val="100000000000" w:firstRow="1" w:lastRow="0" w:firstColumn="0" w:lastColumn="0" w:oddVBand="0" w:evenVBand="0" w:oddHBand="0" w:evenHBand="0" w:firstRowFirstColumn="0" w:firstRowLastColumn="0" w:lastRowFirstColumn="0" w:lastRowLastColumn="0"/>
            </w:pPr>
            <w:r>
              <w:t>Meta 2018</w:t>
            </w:r>
          </w:p>
        </w:tc>
        <w:tc>
          <w:tcPr>
            <w:tcW w:w="1581" w:type="dxa"/>
            <w:gridSpan w:val="3"/>
            <w:vAlign w:val="center"/>
          </w:tcPr>
          <w:p w14:paraId="5C4198E7" w14:textId="323CE971" w:rsidR="00C73070" w:rsidRDefault="00C73070" w:rsidP="00377573">
            <w:pPr>
              <w:spacing w:line="360" w:lineRule="auto"/>
              <w:jc w:val="center"/>
              <w:cnfStyle w:val="100000000000" w:firstRow="1" w:lastRow="0" w:firstColumn="0" w:lastColumn="0" w:oddVBand="0" w:evenVBand="0" w:oddHBand="0" w:evenHBand="0" w:firstRowFirstColumn="0" w:firstRowLastColumn="0" w:lastRowFirstColumn="0" w:lastRowLastColumn="0"/>
            </w:pPr>
            <w:r>
              <w:t>Montante da meta executada em 2018</w:t>
            </w:r>
          </w:p>
        </w:tc>
        <w:tc>
          <w:tcPr>
            <w:tcW w:w="1333" w:type="dxa"/>
            <w:gridSpan w:val="4"/>
            <w:vAlign w:val="center"/>
          </w:tcPr>
          <w:p w14:paraId="5B93AC02" w14:textId="65D461D3" w:rsidR="00C73070" w:rsidRDefault="00C73070" w:rsidP="00377573">
            <w:pPr>
              <w:spacing w:line="360" w:lineRule="auto"/>
              <w:jc w:val="center"/>
              <w:cnfStyle w:val="100000000000" w:firstRow="1" w:lastRow="0" w:firstColumn="0" w:lastColumn="0" w:oddVBand="0" w:evenVBand="0" w:oddHBand="0" w:evenHBand="0" w:firstRowFirstColumn="0" w:firstRowLastColumn="0" w:lastRowFirstColumn="0" w:lastRowLastColumn="0"/>
            </w:pPr>
            <w:r>
              <w:t>% Realizado em relação ao projetado em 2018</w:t>
            </w:r>
          </w:p>
        </w:tc>
        <w:tc>
          <w:tcPr>
            <w:tcW w:w="2614" w:type="dxa"/>
            <w:vAlign w:val="center"/>
          </w:tcPr>
          <w:p w14:paraId="4B3ABD9D" w14:textId="1FB9CA53" w:rsidR="00C73070" w:rsidRDefault="00C73070" w:rsidP="00377573">
            <w:pPr>
              <w:spacing w:line="360" w:lineRule="auto"/>
              <w:jc w:val="center"/>
              <w:cnfStyle w:val="100000000000" w:firstRow="1" w:lastRow="0" w:firstColumn="0" w:lastColumn="0" w:oddVBand="0" w:evenVBand="0" w:oddHBand="0" w:evenHBand="0" w:firstRowFirstColumn="0" w:firstRowLastColumn="0" w:lastRowFirstColumn="0" w:lastRowLastColumn="0"/>
            </w:pPr>
            <w:r>
              <w:t>Riscos à execução conforme Compromisso / Justifique o resultado apresentado</w:t>
            </w:r>
          </w:p>
        </w:tc>
      </w:tr>
      <w:tr w:rsidR="00F33F41" w14:paraId="4F39B7D5" w14:textId="77777777" w:rsidTr="00CA509B">
        <w:trPr>
          <w:gridAfter w:val="1"/>
          <w:cnfStyle w:val="000000100000" w:firstRow="0" w:lastRow="0" w:firstColumn="0" w:lastColumn="0" w:oddVBand="0" w:evenVBand="0" w:oddHBand="1" w:evenHBand="0" w:firstRowFirstColumn="0" w:firstRowLastColumn="0" w:lastRowFirstColumn="0" w:lastRowLastColumn="0"/>
          <w:wAfter w:w="92" w:type="dxa"/>
          <w:trHeight w:val="341"/>
        </w:trPr>
        <w:tc>
          <w:tcPr>
            <w:cnfStyle w:val="001000000000" w:firstRow="0" w:lastRow="0" w:firstColumn="1" w:lastColumn="0" w:oddVBand="0" w:evenVBand="0" w:oddHBand="0" w:evenHBand="0" w:firstRowFirstColumn="0" w:firstRowLastColumn="0" w:lastRowFirstColumn="0" w:lastRowLastColumn="0"/>
            <w:tcW w:w="1280" w:type="dxa"/>
            <w:shd w:val="clear" w:color="auto" w:fill="BFBFBF" w:themeFill="background1" w:themeFillShade="BF"/>
            <w:vAlign w:val="center"/>
          </w:tcPr>
          <w:p w14:paraId="59C0F908" w14:textId="77777777" w:rsidR="00C73070" w:rsidRDefault="00C73070" w:rsidP="00377573">
            <w:pPr>
              <w:spacing w:line="360" w:lineRule="auto"/>
              <w:jc w:val="center"/>
              <w:rPr>
                <w:rFonts w:ascii="Calibri" w:hAnsi="Calibri"/>
                <w:color w:val="000000"/>
              </w:rPr>
            </w:pPr>
            <w:r>
              <w:rPr>
                <w:rFonts w:ascii="Calibri" w:hAnsi="Calibri"/>
                <w:color w:val="000000"/>
              </w:rPr>
              <w:t>Operação FIDC SABESP</w:t>
            </w:r>
          </w:p>
        </w:tc>
        <w:tc>
          <w:tcPr>
            <w:tcW w:w="6785" w:type="dxa"/>
            <w:gridSpan w:val="4"/>
            <w:shd w:val="clear" w:color="auto" w:fill="BFBFBF" w:themeFill="background1" w:themeFillShade="BF"/>
            <w:vAlign w:val="center"/>
          </w:tcPr>
          <w:tbl>
            <w:tblPr>
              <w:tblW w:w="6569" w:type="dxa"/>
              <w:tblBorders>
                <w:top w:val="nil"/>
                <w:left w:val="nil"/>
                <w:bottom w:val="nil"/>
                <w:right w:val="nil"/>
              </w:tblBorders>
              <w:tblLayout w:type="fixed"/>
              <w:tblLook w:val="0000" w:firstRow="0" w:lastRow="0" w:firstColumn="0" w:lastColumn="0" w:noHBand="0" w:noVBand="0"/>
            </w:tblPr>
            <w:tblGrid>
              <w:gridCol w:w="6333"/>
              <w:gridCol w:w="236"/>
            </w:tblGrid>
            <w:tr w:rsidR="00813BE5" w:rsidRPr="00C73070" w14:paraId="45CC7952" w14:textId="77777777" w:rsidTr="00684625">
              <w:trPr>
                <w:trHeight w:val="1444"/>
              </w:trPr>
              <w:tc>
                <w:tcPr>
                  <w:tcW w:w="6333" w:type="dxa"/>
                </w:tcPr>
                <w:p w14:paraId="5B1E7EAC" w14:textId="77777777" w:rsidR="00813BE5" w:rsidRPr="00C73070" w:rsidRDefault="00813BE5" w:rsidP="00813BE5">
                  <w:pPr>
                    <w:spacing w:after="0" w:line="300" w:lineRule="exact"/>
                    <w:ind w:left="410" w:right="-108"/>
                    <w:jc w:val="both"/>
                    <w:rPr>
                      <w:rFonts w:ascii="Calibri" w:eastAsiaTheme="minorEastAsia" w:hAnsi="Calibri"/>
                      <w:color w:val="000000"/>
                      <w:sz w:val="18"/>
                      <w:szCs w:val="18"/>
                      <w:lang w:eastAsia="pt-BR"/>
                    </w:rPr>
                  </w:pPr>
                  <w:r w:rsidRPr="00C73070">
                    <w:rPr>
                      <w:rFonts w:ascii="Calibri" w:eastAsiaTheme="minorEastAsia" w:hAnsi="Calibri"/>
                      <w:color w:val="000000"/>
                      <w:sz w:val="18"/>
                      <w:szCs w:val="18"/>
                      <w:lang w:eastAsia="pt-BR"/>
                    </w:rPr>
                    <w:t xml:space="preserve">Concretizar a estruturação de um Fundo de Investimento em Direitos Creditórios para o qual deverão ser cedidos os recebíveis da PMSP oriundos de contrato celebrado entre esta e a Companhia de Saneamento Básico do Estado de São Paulo – SABESP. Ponto de atenção: em 4 de janeiro de 2015, a Comissão de Valores Mobiliários – CVM determinou a suspensão do processo de registro do fundo, tendo em conta a decisão cautelar do Tribunal de Contas da União, de 1º de dezembro de 2014, proferida no âmbito do processo nº TC 043.416/2012-8.Diante de tal decisão da CVM e com base no entendimento de que a decisão do TCU não se referia ao FIDC objeto da operação coordenada pela SPDA, em 23 de março de 2015, a PGM protocolou petição junto ao referido órgão de controle buscando reverter esta situação. O registro, no entanto, ainda </w:t>
                  </w:r>
                  <w:r w:rsidR="00CA509B" w:rsidRPr="00C73070">
                    <w:rPr>
                      <w:rFonts w:ascii="Calibri" w:eastAsiaTheme="minorEastAsia" w:hAnsi="Calibri"/>
                      <w:color w:val="000000"/>
                      <w:sz w:val="18"/>
                      <w:szCs w:val="18"/>
                      <w:lang w:eastAsia="pt-BR"/>
                    </w:rPr>
                    <w:t>se encontra</w:t>
                  </w:r>
                  <w:r w:rsidRPr="00C73070">
                    <w:rPr>
                      <w:rFonts w:ascii="Calibri" w:eastAsiaTheme="minorEastAsia" w:hAnsi="Calibri"/>
                      <w:color w:val="000000"/>
                      <w:sz w:val="18"/>
                      <w:szCs w:val="18"/>
                      <w:lang w:eastAsia="pt-BR"/>
                    </w:rPr>
                    <w:t xml:space="preserve"> suspenso. A expectativa é que o Projeto de Lei do Senado Federal nº 204/2016, ao deixar claro que as operações de securitização de recebíveis públicos não constituem, per se, operação de crédito para fins da Lei de Responsabilidade Fiscal, enderece também esta questão. </w:t>
                  </w:r>
                </w:p>
              </w:tc>
              <w:tc>
                <w:tcPr>
                  <w:tcW w:w="236" w:type="dxa"/>
                </w:tcPr>
                <w:p w14:paraId="3BEE735D" w14:textId="77777777" w:rsidR="00813BE5" w:rsidRPr="00C73070" w:rsidRDefault="00813BE5" w:rsidP="00813BE5">
                  <w:pPr>
                    <w:spacing w:after="0" w:line="300" w:lineRule="exact"/>
                    <w:ind w:left="410"/>
                    <w:jc w:val="both"/>
                    <w:rPr>
                      <w:rFonts w:ascii="Calibri" w:eastAsiaTheme="minorEastAsia" w:hAnsi="Calibri"/>
                      <w:color w:val="000000"/>
                      <w:sz w:val="18"/>
                      <w:szCs w:val="18"/>
                      <w:lang w:eastAsia="pt-BR"/>
                    </w:rPr>
                  </w:pPr>
                </w:p>
              </w:tc>
            </w:tr>
          </w:tbl>
          <w:p w14:paraId="50572404" w14:textId="77777777" w:rsidR="00C73070" w:rsidRPr="00C73070" w:rsidRDefault="00C73070" w:rsidP="00C73070">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150" w:type="dxa"/>
            <w:gridSpan w:val="2"/>
            <w:shd w:val="clear" w:color="auto" w:fill="BFBFBF" w:themeFill="background1" w:themeFillShade="BF"/>
            <w:vAlign w:val="center"/>
          </w:tcPr>
          <w:p w14:paraId="3A0D9681" w14:textId="3593907E" w:rsidR="00C73070" w:rsidRPr="00813BE5" w:rsidRDefault="00813BE5" w:rsidP="00684625">
            <w:pPr>
              <w:autoSpaceDE w:val="0"/>
              <w:autoSpaceDN w:val="0"/>
              <w:adjustRightInd w:val="0"/>
              <w:spacing w:line="360" w:lineRule="auto"/>
              <w:ind w:right="114"/>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3BE5">
              <w:rPr>
                <w:rFonts w:ascii="Calibri" w:hAnsi="Calibri"/>
                <w:color w:val="000000"/>
                <w:sz w:val="18"/>
                <w:szCs w:val="18"/>
              </w:rPr>
              <w:t>360</w:t>
            </w:r>
          </w:p>
        </w:tc>
        <w:tc>
          <w:tcPr>
            <w:tcW w:w="1581" w:type="dxa"/>
            <w:gridSpan w:val="3"/>
            <w:shd w:val="clear" w:color="auto" w:fill="BFBFBF" w:themeFill="background1" w:themeFillShade="BF"/>
            <w:vAlign w:val="center"/>
          </w:tcPr>
          <w:p w14:paraId="36539FAA" w14:textId="791B1068" w:rsidR="00C73070" w:rsidRDefault="00813BE5" w:rsidP="0037757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t>
            </w:r>
          </w:p>
        </w:tc>
        <w:tc>
          <w:tcPr>
            <w:tcW w:w="1333" w:type="dxa"/>
            <w:gridSpan w:val="4"/>
            <w:shd w:val="clear" w:color="auto" w:fill="BFBFBF" w:themeFill="background1" w:themeFillShade="BF"/>
            <w:vAlign w:val="center"/>
          </w:tcPr>
          <w:p w14:paraId="41211D91" w14:textId="1E514F6F" w:rsidR="00C73070" w:rsidRPr="00813BE5" w:rsidRDefault="00813BE5" w:rsidP="0037757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3BE5">
              <w:rPr>
                <w:rFonts w:ascii="Calibri" w:hAnsi="Calibri"/>
                <w:color w:val="000000"/>
                <w:sz w:val="18"/>
                <w:szCs w:val="18"/>
              </w:rPr>
              <w:t>0%</w:t>
            </w:r>
          </w:p>
        </w:tc>
        <w:tc>
          <w:tcPr>
            <w:tcW w:w="3039" w:type="dxa"/>
            <w:gridSpan w:val="2"/>
            <w:shd w:val="clear" w:color="auto" w:fill="BFBFBF" w:themeFill="background1" w:themeFillShade="BF"/>
            <w:vAlign w:val="center"/>
          </w:tcPr>
          <w:p w14:paraId="2E78113A" w14:textId="69F5552D" w:rsidR="00C73070" w:rsidRPr="00813BE5" w:rsidRDefault="00813BE5" w:rsidP="00684625">
            <w:pPr>
              <w:spacing w:line="300" w:lineRule="exact"/>
              <w:ind w:left="-108"/>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813BE5">
              <w:rPr>
                <w:rFonts w:ascii="Calibri" w:hAnsi="Calibri"/>
                <w:color w:val="000000"/>
                <w:sz w:val="18"/>
                <w:szCs w:val="18"/>
              </w:rPr>
              <w:t>Dada a inexistência de projetos para utilização de recursos do FMSAI, premissa que viabiliza o uso dos recursos desses recebíveis, não se avançou com a constituição do FIDC no exercício social de 2018. Adicionalmente, em 25 de fevereiro de 2019, a Companhia recebeu da CVM, em resposta à consulta formulada anteriormente, a informação de que não é possível a constituição de um FIDC para uma operação dessa natureza.</w:t>
            </w:r>
          </w:p>
        </w:tc>
      </w:tr>
      <w:tr w:rsidR="00F33F41" w14:paraId="157037D8" w14:textId="77777777" w:rsidTr="00CA509B">
        <w:trPr>
          <w:gridAfter w:val="1"/>
          <w:wAfter w:w="92" w:type="dxa"/>
          <w:trHeight w:val="4026"/>
        </w:trPr>
        <w:tc>
          <w:tcPr>
            <w:cnfStyle w:val="001000000000" w:firstRow="0" w:lastRow="0" w:firstColumn="1" w:lastColumn="0" w:oddVBand="0" w:evenVBand="0" w:oddHBand="0" w:evenHBand="0" w:firstRowFirstColumn="0" w:firstRowLastColumn="0" w:lastRowFirstColumn="0" w:lastRowLastColumn="0"/>
            <w:tcW w:w="1743" w:type="dxa"/>
            <w:gridSpan w:val="3"/>
            <w:shd w:val="clear" w:color="auto" w:fill="FFFFFF" w:themeFill="background1"/>
            <w:vAlign w:val="center"/>
          </w:tcPr>
          <w:p w14:paraId="744E5771" w14:textId="77777777" w:rsidR="00C73070" w:rsidRDefault="00C73070" w:rsidP="00377573">
            <w:pPr>
              <w:spacing w:line="360" w:lineRule="auto"/>
              <w:jc w:val="center"/>
              <w:rPr>
                <w:rFonts w:ascii="Calibri" w:hAnsi="Calibri"/>
                <w:color w:val="000000"/>
              </w:rPr>
            </w:pPr>
            <w:r>
              <w:rPr>
                <w:rFonts w:ascii="Calibri" w:hAnsi="Calibri"/>
                <w:color w:val="000000"/>
              </w:rPr>
              <w:lastRenderedPageBreak/>
              <w:t>SPDA Habitação Fundo de Investimento em Direitos Creditórios – Não Padronizados</w:t>
            </w:r>
          </w:p>
        </w:tc>
        <w:tc>
          <w:tcPr>
            <w:tcW w:w="6448" w:type="dxa"/>
            <w:gridSpan w:val="3"/>
            <w:shd w:val="clear" w:color="auto" w:fill="FFFFFF" w:themeFill="background1"/>
            <w:vAlign w:val="center"/>
          </w:tcPr>
          <w:p w14:paraId="7C7D8DEC" w14:textId="16CF705A" w:rsidR="00C73070" w:rsidRPr="00C73070" w:rsidRDefault="00684625" w:rsidP="00684625">
            <w:pPr>
              <w:spacing w:line="300" w:lineRule="exact"/>
              <w:ind w:right="352"/>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84625">
              <w:rPr>
                <w:rFonts w:ascii="Calibri" w:hAnsi="Calibri"/>
                <w:color w:val="000000"/>
                <w:sz w:val="18"/>
                <w:szCs w:val="18"/>
              </w:rPr>
              <w:t xml:space="preserve">Fase 1: Transição dos trabalhos de administração da Carteira de Crédito Imobiliário realizados pela COHAB ao master </w:t>
            </w:r>
            <w:proofErr w:type="spellStart"/>
            <w:r w:rsidRPr="00684625">
              <w:rPr>
                <w:rFonts w:ascii="Calibri" w:hAnsi="Calibri"/>
                <w:color w:val="000000"/>
                <w:sz w:val="18"/>
                <w:szCs w:val="18"/>
              </w:rPr>
              <w:t>servicer</w:t>
            </w:r>
            <w:proofErr w:type="spellEnd"/>
            <w:r w:rsidRPr="00684625">
              <w:rPr>
                <w:rFonts w:ascii="Calibri" w:hAnsi="Calibri"/>
                <w:color w:val="000000"/>
                <w:sz w:val="18"/>
                <w:szCs w:val="18"/>
              </w:rPr>
              <w:t xml:space="preserve">, RCB, vencedor do Pregão n° 2/2015, conforme cronograma que será elaborado até 31/01/2017, em atenção ao disposto no Contrato de Prestação de Serviços de Administração Plena, Consultoria e Assessoria na Gestão de Créditos Imobiliários, assinado pelo master </w:t>
            </w:r>
            <w:proofErr w:type="spellStart"/>
            <w:r w:rsidRPr="00684625">
              <w:rPr>
                <w:rFonts w:ascii="Calibri" w:hAnsi="Calibri"/>
                <w:color w:val="000000"/>
                <w:sz w:val="18"/>
                <w:szCs w:val="18"/>
              </w:rPr>
              <w:t>servicer</w:t>
            </w:r>
            <w:proofErr w:type="spellEnd"/>
            <w:r w:rsidRPr="00684625">
              <w:rPr>
                <w:rFonts w:ascii="Calibri" w:hAnsi="Calibri"/>
                <w:color w:val="000000"/>
                <w:sz w:val="18"/>
                <w:szCs w:val="18"/>
              </w:rPr>
              <w:t xml:space="preserve"> referido e a COHAB. Fase 2: Início nos avanços na recuperação dos ativos (1° semestre de 2017).</w:t>
            </w:r>
            <w:r w:rsidR="00CA509B">
              <w:rPr>
                <w:rFonts w:ascii="Calibri" w:hAnsi="Calibri"/>
                <w:color w:val="000000"/>
                <w:sz w:val="18"/>
                <w:szCs w:val="18"/>
              </w:rPr>
              <w:t xml:space="preserve"> </w:t>
            </w:r>
            <w:r w:rsidRPr="00684625">
              <w:rPr>
                <w:rFonts w:ascii="Calibri" w:hAnsi="Calibri"/>
                <w:color w:val="000000"/>
                <w:sz w:val="18"/>
                <w:szCs w:val="18"/>
              </w:rPr>
              <w:t>Fase 3: Continuação dos trabalhos de recuperação de ativos conduzidos exclusivamente pela RCB. Conforme apresentado pela RCB no laudo de avaliação da carteira de direitos creditórios, em perspectiva conservadora, as estimativas para recuperação da carteira apresentam uma tendência de baixa no começo da operação, mas, seguem em ascensão até 2020, quando voltam a decrescer (2018 – 2026: prazo do FIDC).</w:t>
            </w:r>
          </w:p>
        </w:tc>
        <w:tc>
          <w:tcPr>
            <w:tcW w:w="1559" w:type="dxa"/>
            <w:gridSpan w:val="3"/>
            <w:shd w:val="clear" w:color="auto" w:fill="FFFFFF" w:themeFill="background1"/>
            <w:vAlign w:val="center"/>
          </w:tcPr>
          <w:p w14:paraId="77BA8AF2" w14:textId="2F15F501" w:rsidR="00C73070" w:rsidRDefault="00684625" w:rsidP="00684625">
            <w:pPr>
              <w:spacing w:line="360" w:lineRule="auto"/>
              <w:ind w:right="422"/>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sz w:val="18"/>
                <w:szCs w:val="18"/>
              </w:rPr>
              <w:t>1.000</w:t>
            </w:r>
          </w:p>
        </w:tc>
        <w:tc>
          <w:tcPr>
            <w:tcW w:w="1430" w:type="dxa"/>
            <w:gridSpan w:val="3"/>
            <w:shd w:val="clear" w:color="auto" w:fill="FFFFFF" w:themeFill="background1"/>
            <w:vAlign w:val="center"/>
          </w:tcPr>
          <w:p w14:paraId="4A715BA0" w14:textId="7864E5B3" w:rsidR="00C73070" w:rsidRPr="00684625" w:rsidRDefault="00684625" w:rsidP="00684625">
            <w:pPr>
              <w:spacing w:line="360" w:lineRule="auto"/>
              <w:ind w:right="556"/>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6.715</w:t>
            </w:r>
          </w:p>
        </w:tc>
        <w:tc>
          <w:tcPr>
            <w:tcW w:w="949" w:type="dxa"/>
            <w:gridSpan w:val="2"/>
            <w:shd w:val="clear" w:color="auto" w:fill="FFFFFF" w:themeFill="background1"/>
            <w:vAlign w:val="center"/>
          </w:tcPr>
          <w:p w14:paraId="79D4F0BF" w14:textId="51CD0906" w:rsidR="00C73070" w:rsidRPr="00684625" w:rsidRDefault="00684625" w:rsidP="00684625">
            <w:pPr>
              <w:spacing w:line="360" w:lineRule="auto"/>
              <w:ind w:left="-142"/>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672%</w:t>
            </w:r>
          </w:p>
        </w:tc>
        <w:tc>
          <w:tcPr>
            <w:tcW w:w="3039" w:type="dxa"/>
            <w:gridSpan w:val="2"/>
            <w:shd w:val="clear" w:color="auto" w:fill="FFFFFF" w:themeFill="background1"/>
            <w:vAlign w:val="center"/>
          </w:tcPr>
          <w:p w14:paraId="7924D79A" w14:textId="5B585584" w:rsidR="00C73070" w:rsidRPr="00684625" w:rsidRDefault="00684625" w:rsidP="00684625">
            <w:pPr>
              <w:pStyle w:val="Default"/>
              <w:spacing w:line="300" w:lineRule="exact"/>
              <w:ind w:left="-37"/>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84625">
              <w:rPr>
                <w:rFonts w:asciiTheme="minorHAnsi" w:hAnsiTheme="minorHAnsi"/>
                <w:sz w:val="18"/>
                <w:szCs w:val="18"/>
              </w:rPr>
              <w:t xml:space="preserve">Pelo fato de o objeto social da Companhia incluir suas atividades na qualidade de quotista única do FIDC, incluiu-se como parte de suas metas de receita operacional o valor relativo à amortização de cotas do FIDC para suprir eventual necessidade de recursos para suas operações. O valor relativo </w:t>
            </w:r>
            <w:proofErr w:type="gramStart"/>
            <w:r w:rsidRPr="00684625">
              <w:rPr>
                <w:rFonts w:asciiTheme="minorHAnsi" w:hAnsiTheme="minorHAnsi"/>
                <w:sz w:val="18"/>
                <w:szCs w:val="18"/>
              </w:rPr>
              <w:t>a</w:t>
            </w:r>
            <w:proofErr w:type="gramEnd"/>
            <w:r w:rsidRPr="00684625">
              <w:rPr>
                <w:rFonts w:asciiTheme="minorHAnsi" w:hAnsiTheme="minorHAnsi"/>
                <w:sz w:val="18"/>
                <w:szCs w:val="18"/>
              </w:rPr>
              <w:t xml:space="preserve"> amortização de cotas no exercício social de 2018 reflete o montante integralmente investido na constituição de Fundo de Investimento em Renda Fixa para prestação de Garantias em operações de PPP. </w:t>
            </w:r>
          </w:p>
        </w:tc>
      </w:tr>
      <w:tr w:rsidR="00F33F41" w:rsidRPr="008B398B" w14:paraId="61DFE0C1" w14:textId="77777777" w:rsidTr="00CA5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gridSpan w:val="2"/>
            <w:shd w:val="clear" w:color="auto" w:fill="BFBFBF" w:themeFill="background1" w:themeFillShade="BF"/>
            <w:vAlign w:val="center"/>
          </w:tcPr>
          <w:p w14:paraId="0D1B078E" w14:textId="77777777" w:rsidR="00C73070" w:rsidRDefault="00C73070" w:rsidP="00684625">
            <w:pPr>
              <w:spacing w:line="360" w:lineRule="auto"/>
              <w:jc w:val="center"/>
              <w:rPr>
                <w:rFonts w:ascii="Calibri" w:hAnsi="Calibri"/>
                <w:color w:val="000000"/>
              </w:rPr>
            </w:pPr>
            <w:r w:rsidRPr="005D7CEF">
              <w:rPr>
                <w:rFonts w:ascii="Calibri" w:hAnsi="Calibri"/>
                <w:color w:val="000000"/>
              </w:rPr>
              <w:t>Incremento de Receitas Acessórias em 15%</w:t>
            </w:r>
          </w:p>
        </w:tc>
        <w:tc>
          <w:tcPr>
            <w:tcW w:w="6276" w:type="dxa"/>
            <w:gridSpan w:val="2"/>
            <w:shd w:val="clear" w:color="auto" w:fill="BFBFBF" w:themeFill="background1" w:themeFillShade="BF"/>
            <w:vAlign w:val="center"/>
          </w:tcPr>
          <w:p w14:paraId="60FD7AE5" w14:textId="66D57D35" w:rsidR="00C73070" w:rsidRPr="00C73070" w:rsidRDefault="00684625" w:rsidP="00684625">
            <w:pPr>
              <w:spacing w:line="300" w:lineRule="exact"/>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84625">
              <w:rPr>
                <w:rFonts w:ascii="Calibri" w:hAnsi="Calibri"/>
                <w:color w:val="000000"/>
                <w:sz w:val="18"/>
                <w:szCs w:val="18"/>
              </w:rPr>
              <w:t>Necessidade de que as empresas da Administração Indireta busquem formas de aumentar suas receitas por meio de iniciativas próprias, ligadas ao seu objeto social ou dele decorrentes de forma acessória, a fim de que dependam cada vez menos de aportes da Administração Direta.</w:t>
            </w:r>
          </w:p>
        </w:tc>
        <w:tc>
          <w:tcPr>
            <w:tcW w:w="1466" w:type="dxa"/>
            <w:gridSpan w:val="4"/>
            <w:shd w:val="clear" w:color="auto" w:fill="BFBFBF" w:themeFill="background1" w:themeFillShade="BF"/>
            <w:vAlign w:val="center"/>
          </w:tcPr>
          <w:p w14:paraId="776098C0" w14:textId="27315118" w:rsidR="00C73070" w:rsidRPr="00684625" w:rsidRDefault="00684625" w:rsidP="0037757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15%</w:t>
            </w:r>
          </w:p>
        </w:tc>
        <w:tc>
          <w:tcPr>
            <w:tcW w:w="1561" w:type="dxa"/>
            <w:gridSpan w:val="3"/>
            <w:shd w:val="clear" w:color="auto" w:fill="BFBFBF" w:themeFill="background1" w:themeFillShade="BF"/>
            <w:vAlign w:val="center"/>
          </w:tcPr>
          <w:p w14:paraId="4FD0FDBA" w14:textId="2A00BC58" w:rsidR="00C73070" w:rsidRPr="00684625" w:rsidRDefault="00684625" w:rsidP="0037757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c>
          <w:tcPr>
            <w:tcW w:w="871" w:type="dxa"/>
            <w:gridSpan w:val="2"/>
            <w:shd w:val="clear" w:color="auto" w:fill="BFBFBF" w:themeFill="background1" w:themeFillShade="BF"/>
            <w:vAlign w:val="center"/>
          </w:tcPr>
          <w:p w14:paraId="1FA2ABB4" w14:textId="79463F67" w:rsidR="00C73070" w:rsidRPr="00684625" w:rsidRDefault="00684625" w:rsidP="0037757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0%</w:t>
            </w:r>
          </w:p>
        </w:tc>
        <w:tc>
          <w:tcPr>
            <w:tcW w:w="3448" w:type="dxa"/>
            <w:gridSpan w:val="4"/>
            <w:shd w:val="clear" w:color="auto" w:fill="BFBFBF" w:themeFill="background1" w:themeFillShade="BF"/>
            <w:vAlign w:val="center"/>
          </w:tcPr>
          <w:p w14:paraId="3EA1D7C8" w14:textId="3B14D3E3" w:rsidR="00C73070" w:rsidRPr="00684625" w:rsidRDefault="00684625" w:rsidP="00CA509B">
            <w:pPr>
              <w:pStyle w:val="Default"/>
              <w:spacing w:line="300" w:lineRule="exact"/>
              <w:ind w:left="271"/>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84625">
              <w:rPr>
                <w:rFonts w:asciiTheme="minorHAnsi" w:hAnsiTheme="minorHAnsi"/>
                <w:sz w:val="18"/>
                <w:szCs w:val="18"/>
              </w:rPr>
              <w:t xml:space="preserve">Em decorrência das demandas da SMF ao longo do exercício social de 2018, a Companhia dedicou toda sua força de trabalho para a execução das Ordens de Serviços, inviabilizando a busca de incrementos de suas receitas pelo acréscimo de novos clientes. </w:t>
            </w:r>
          </w:p>
        </w:tc>
      </w:tr>
    </w:tbl>
    <w:p w14:paraId="64BE48CB" w14:textId="77777777" w:rsidR="00663522" w:rsidRDefault="00663522" w:rsidP="00377573">
      <w:pPr>
        <w:pStyle w:val="PargrafodaLista"/>
        <w:autoSpaceDE w:val="0"/>
        <w:autoSpaceDN w:val="0"/>
        <w:adjustRightInd w:val="0"/>
        <w:spacing w:before="120" w:after="120" w:line="360" w:lineRule="auto"/>
        <w:ind w:left="0"/>
        <w:contextualSpacing w:val="0"/>
        <w:rPr>
          <w:rFonts w:asciiTheme="minorHAnsi" w:hAnsiTheme="minorHAnsi"/>
          <w:sz w:val="22"/>
          <w:szCs w:val="22"/>
        </w:rPr>
      </w:pPr>
    </w:p>
    <w:sectPr w:rsidR="00663522" w:rsidSect="0066352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4B4DF" w14:textId="77777777" w:rsidR="000B3BE3" w:rsidRDefault="000B3BE3" w:rsidP="00DE34D3">
      <w:pPr>
        <w:spacing w:after="0" w:line="240" w:lineRule="auto"/>
      </w:pPr>
      <w:r>
        <w:separator/>
      </w:r>
    </w:p>
  </w:endnote>
  <w:endnote w:type="continuationSeparator" w:id="0">
    <w:p w14:paraId="16E813FC" w14:textId="77777777" w:rsidR="000B3BE3" w:rsidRDefault="000B3BE3" w:rsidP="00DE34D3">
      <w:pPr>
        <w:spacing w:after="0" w:line="240" w:lineRule="auto"/>
      </w:pPr>
      <w:r>
        <w:continuationSeparator/>
      </w:r>
    </w:p>
  </w:endnote>
  <w:endnote w:type="continuationNotice" w:id="1">
    <w:p w14:paraId="7B7E4480" w14:textId="77777777" w:rsidR="000B3BE3" w:rsidRDefault="000B3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744376"/>
      <w:docPartObj>
        <w:docPartGallery w:val="Page Numbers (Bottom of Page)"/>
        <w:docPartUnique/>
      </w:docPartObj>
    </w:sdtPr>
    <w:sdtEndPr/>
    <w:sdtContent>
      <w:p w14:paraId="3DFA5E67" w14:textId="77777777" w:rsidR="006C246C" w:rsidRDefault="006C246C">
        <w:pPr>
          <w:pStyle w:val="Rodap"/>
          <w:jc w:val="right"/>
        </w:pPr>
        <w:r w:rsidRPr="00E557D2">
          <w:rPr>
            <w:rFonts w:ascii="Arial" w:hAnsi="Arial" w:cs="Arial"/>
            <w:sz w:val="24"/>
            <w:szCs w:val="24"/>
          </w:rPr>
          <w:fldChar w:fldCharType="begin"/>
        </w:r>
        <w:r w:rsidRPr="00E557D2">
          <w:rPr>
            <w:rFonts w:ascii="Arial" w:hAnsi="Arial" w:cs="Arial"/>
            <w:sz w:val="24"/>
            <w:szCs w:val="24"/>
          </w:rPr>
          <w:instrText>PAGE   \* MERGEFORMAT</w:instrText>
        </w:r>
        <w:r w:rsidRPr="00E557D2">
          <w:rPr>
            <w:rFonts w:ascii="Arial" w:hAnsi="Arial" w:cs="Arial"/>
            <w:sz w:val="24"/>
            <w:szCs w:val="24"/>
          </w:rPr>
          <w:fldChar w:fldCharType="separate"/>
        </w:r>
        <w:r w:rsidR="006812B0">
          <w:rPr>
            <w:rFonts w:ascii="Arial" w:hAnsi="Arial" w:cs="Arial"/>
            <w:noProof/>
            <w:sz w:val="24"/>
            <w:szCs w:val="24"/>
          </w:rPr>
          <w:t>6</w:t>
        </w:r>
        <w:r w:rsidRPr="00E557D2">
          <w:rPr>
            <w:rFonts w:ascii="Arial" w:hAnsi="Arial" w:cs="Arial"/>
            <w:sz w:val="24"/>
            <w:szCs w:val="24"/>
          </w:rPr>
          <w:fldChar w:fldCharType="end"/>
        </w:r>
      </w:p>
    </w:sdtContent>
  </w:sdt>
  <w:p w14:paraId="5018B766" w14:textId="72366587" w:rsidR="00CA51A6" w:rsidRDefault="00CA51A6" w:rsidP="00CA51A6">
    <w:pPr>
      <w:pStyle w:val="Rodap"/>
      <w:rPr>
        <w:rFonts w:ascii="Arial" w:hAnsi="Arial" w:cs="Arial"/>
        <w:sz w:val="14"/>
        <w:szCs w:val="14"/>
      </w:rPr>
    </w:pPr>
    <w:r w:rsidRPr="00452208">
      <w:rPr>
        <w:rFonts w:ascii="Arial" w:hAnsi="Arial" w:cs="Arial"/>
        <w:sz w:val="14"/>
        <w:szCs w:val="14"/>
      </w:rPr>
      <w:t xml:space="preserve">Carta Anual </w:t>
    </w:r>
    <w:r>
      <w:rPr>
        <w:rFonts w:ascii="Arial" w:hAnsi="Arial" w:cs="Arial"/>
        <w:sz w:val="14"/>
        <w:szCs w:val="14"/>
      </w:rPr>
      <w:t>d</w:t>
    </w:r>
    <w:r w:rsidRPr="00452208">
      <w:rPr>
        <w:rFonts w:ascii="Arial" w:hAnsi="Arial" w:cs="Arial"/>
        <w:sz w:val="14"/>
        <w:szCs w:val="14"/>
      </w:rPr>
      <w:t xml:space="preserve">e Políticas Públicas </w:t>
    </w:r>
    <w:r>
      <w:rPr>
        <w:rFonts w:ascii="Arial" w:hAnsi="Arial" w:cs="Arial"/>
        <w:sz w:val="14"/>
        <w:szCs w:val="14"/>
      </w:rPr>
      <w:t>e</w:t>
    </w:r>
    <w:r w:rsidRPr="00452208">
      <w:rPr>
        <w:rFonts w:ascii="Arial" w:hAnsi="Arial" w:cs="Arial"/>
        <w:sz w:val="14"/>
        <w:szCs w:val="14"/>
      </w:rPr>
      <w:t xml:space="preserve"> Governança Corporativa</w:t>
    </w:r>
    <w:r w:rsidRPr="009E72C5">
      <w:rPr>
        <w:rFonts w:ascii="Arial" w:hAnsi="Arial" w:cs="Arial"/>
        <w:sz w:val="14"/>
        <w:szCs w:val="14"/>
      </w:rPr>
      <w:t>. Aprovad</w:t>
    </w:r>
    <w:r>
      <w:rPr>
        <w:rFonts w:ascii="Arial" w:hAnsi="Arial" w:cs="Arial"/>
        <w:sz w:val="14"/>
        <w:szCs w:val="14"/>
      </w:rPr>
      <w:t>a</w:t>
    </w:r>
    <w:r w:rsidRPr="009E72C5">
      <w:rPr>
        <w:rFonts w:ascii="Arial" w:hAnsi="Arial" w:cs="Arial"/>
        <w:sz w:val="14"/>
        <w:szCs w:val="14"/>
      </w:rPr>
      <w:t xml:space="preserve"> em </w:t>
    </w:r>
    <w:r w:rsidR="00117D8C">
      <w:rPr>
        <w:rFonts w:ascii="Arial" w:hAnsi="Arial" w:cs="Arial"/>
        <w:sz w:val="14"/>
        <w:szCs w:val="14"/>
      </w:rPr>
      <w:t>29</w:t>
    </w:r>
    <w:r w:rsidRPr="009E72C5">
      <w:rPr>
        <w:rFonts w:ascii="Arial" w:hAnsi="Arial" w:cs="Arial"/>
        <w:sz w:val="14"/>
        <w:szCs w:val="14"/>
      </w:rPr>
      <w:t>/</w:t>
    </w:r>
    <w:r w:rsidR="00117D8C">
      <w:rPr>
        <w:rFonts w:ascii="Arial" w:hAnsi="Arial" w:cs="Arial"/>
        <w:sz w:val="14"/>
        <w:szCs w:val="14"/>
      </w:rPr>
      <w:t>06</w:t>
    </w:r>
    <w:r w:rsidRPr="009E72C5">
      <w:rPr>
        <w:rFonts w:ascii="Arial" w:hAnsi="Arial" w:cs="Arial"/>
        <w:sz w:val="14"/>
        <w:szCs w:val="14"/>
      </w:rPr>
      <w:t>/2018</w:t>
    </w:r>
    <w:r>
      <w:rPr>
        <w:rFonts w:ascii="Arial" w:hAnsi="Arial" w:cs="Arial"/>
        <w:sz w:val="14"/>
        <w:szCs w:val="14"/>
      </w:rPr>
      <w:t>. Revisada e atua</w:t>
    </w:r>
    <w:r w:rsidRPr="00176453">
      <w:rPr>
        <w:rFonts w:ascii="Arial" w:hAnsi="Arial" w:cs="Arial"/>
        <w:sz w:val="14"/>
        <w:szCs w:val="14"/>
      </w:rPr>
      <w:t xml:space="preserve">lizada em </w:t>
    </w:r>
    <w:r w:rsidRPr="00271156">
      <w:rPr>
        <w:rFonts w:ascii="Arial" w:hAnsi="Arial" w:cs="Arial"/>
        <w:sz w:val="14"/>
        <w:szCs w:val="14"/>
      </w:rPr>
      <w:t>2</w:t>
    </w:r>
    <w:r w:rsidR="002A1595">
      <w:rPr>
        <w:rFonts w:ascii="Arial" w:hAnsi="Arial" w:cs="Arial"/>
        <w:sz w:val="14"/>
        <w:szCs w:val="14"/>
      </w:rPr>
      <w:t>3</w:t>
    </w:r>
    <w:r w:rsidRPr="00271156">
      <w:rPr>
        <w:rFonts w:ascii="Arial" w:hAnsi="Arial" w:cs="Arial"/>
        <w:sz w:val="14"/>
        <w:szCs w:val="14"/>
      </w:rPr>
      <w:t>/0</w:t>
    </w:r>
    <w:r w:rsidR="002A1595">
      <w:rPr>
        <w:rFonts w:ascii="Arial" w:hAnsi="Arial" w:cs="Arial"/>
        <w:sz w:val="14"/>
        <w:szCs w:val="14"/>
      </w:rPr>
      <w:t>4</w:t>
    </w:r>
    <w:r w:rsidRPr="00271156">
      <w:rPr>
        <w:rFonts w:ascii="Arial" w:hAnsi="Arial" w:cs="Arial"/>
        <w:sz w:val="14"/>
        <w:szCs w:val="14"/>
      </w:rPr>
      <w:t>/20</w:t>
    </w:r>
    <w:r w:rsidR="002A1595">
      <w:rPr>
        <w:rFonts w:ascii="Arial" w:hAnsi="Arial" w:cs="Arial"/>
        <w:sz w:val="14"/>
        <w:szCs w:val="14"/>
      </w:rPr>
      <w:t>20</w:t>
    </w:r>
    <w:r w:rsidRPr="00271156">
      <w:rPr>
        <w:rFonts w:ascii="Arial" w:hAnsi="Arial" w:cs="Arial"/>
        <w:sz w:val="14"/>
        <w:szCs w:val="14"/>
      </w:rPr>
      <w:t>.</w:t>
    </w:r>
  </w:p>
  <w:p w14:paraId="4A63A631" w14:textId="77777777" w:rsidR="006C246C" w:rsidRPr="00E557D2" w:rsidRDefault="006C246C">
    <w:pPr>
      <w:pStyle w:val="Rodap"/>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735089"/>
      <w:docPartObj>
        <w:docPartGallery w:val="Page Numbers (Bottom of Page)"/>
        <w:docPartUnique/>
      </w:docPartObj>
    </w:sdtPr>
    <w:sdtEndPr/>
    <w:sdtContent>
      <w:p w14:paraId="7E18D1A2" w14:textId="77777777" w:rsidR="006C246C" w:rsidRDefault="006C246C" w:rsidP="00452208">
        <w:pPr>
          <w:pStyle w:val="Rodap"/>
          <w:jc w:val="right"/>
        </w:pPr>
        <w:r>
          <w:fldChar w:fldCharType="begin"/>
        </w:r>
        <w:r>
          <w:instrText>PAGE   \* MERGEFORMAT</w:instrText>
        </w:r>
        <w:r>
          <w:fldChar w:fldCharType="separate"/>
        </w:r>
        <w:r w:rsidR="006812B0">
          <w:rPr>
            <w:noProof/>
          </w:rPr>
          <w:t>1</w:t>
        </w:r>
        <w:r>
          <w:fldChar w:fldCharType="end"/>
        </w:r>
      </w:p>
    </w:sdtContent>
  </w:sdt>
  <w:p w14:paraId="192F3255" w14:textId="0E156008" w:rsidR="006C246C" w:rsidRDefault="006C246C" w:rsidP="00452208">
    <w:pPr>
      <w:pStyle w:val="Rodap"/>
      <w:rPr>
        <w:rFonts w:ascii="Arial" w:hAnsi="Arial" w:cs="Arial"/>
        <w:sz w:val="14"/>
        <w:szCs w:val="14"/>
      </w:rPr>
    </w:pPr>
    <w:r w:rsidRPr="00452208">
      <w:rPr>
        <w:rFonts w:ascii="Arial" w:hAnsi="Arial" w:cs="Arial"/>
        <w:sz w:val="14"/>
        <w:szCs w:val="14"/>
      </w:rPr>
      <w:t xml:space="preserve">Carta Anual </w:t>
    </w:r>
    <w:r>
      <w:rPr>
        <w:rFonts w:ascii="Arial" w:hAnsi="Arial" w:cs="Arial"/>
        <w:sz w:val="14"/>
        <w:szCs w:val="14"/>
      </w:rPr>
      <w:t>d</w:t>
    </w:r>
    <w:r w:rsidRPr="00452208">
      <w:rPr>
        <w:rFonts w:ascii="Arial" w:hAnsi="Arial" w:cs="Arial"/>
        <w:sz w:val="14"/>
        <w:szCs w:val="14"/>
      </w:rPr>
      <w:t xml:space="preserve">e Políticas Públicas </w:t>
    </w:r>
    <w:r>
      <w:rPr>
        <w:rFonts w:ascii="Arial" w:hAnsi="Arial" w:cs="Arial"/>
        <w:sz w:val="14"/>
        <w:szCs w:val="14"/>
      </w:rPr>
      <w:t>e</w:t>
    </w:r>
    <w:r w:rsidRPr="00452208">
      <w:rPr>
        <w:rFonts w:ascii="Arial" w:hAnsi="Arial" w:cs="Arial"/>
        <w:sz w:val="14"/>
        <w:szCs w:val="14"/>
      </w:rPr>
      <w:t xml:space="preserve"> Governança Corporativa</w:t>
    </w:r>
    <w:r w:rsidRPr="009E72C5">
      <w:rPr>
        <w:rFonts w:ascii="Arial" w:hAnsi="Arial" w:cs="Arial"/>
        <w:sz w:val="14"/>
        <w:szCs w:val="14"/>
      </w:rPr>
      <w:t>. Aprovad</w:t>
    </w:r>
    <w:r>
      <w:rPr>
        <w:rFonts w:ascii="Arial" w:hAnsi="Arial" w:cs="Arial"/>
        <w:sz w:val="14"/>
        <w:szCs w:val="14"/>
      </w:rPr>
      <w:t>a</w:t>
    </w:r>
    <w:r w:rsidRPr="009E72C5">
      <w:rPr>
        <w:rFonts w:ascii="Arial" w:hAnsi="Arial" w:cs="Arial"/>
        <w:sz w:val="14"/>
        <w:szCs w:val="14"/>
      </w:rPr>
      <w:t xml:space="preserve"> em </w:t>
    </w:r>
    <w:r w:rsidR="00117D8C">
      <w:rPr>
        <w:rFonts w:ascii="Arial" w:hAnsi="Arial" w:cs="Arial"/>
        <w:sz w:val="14"/>
        <w:szCs w:val="14"/>
      </w:rPr>
      <w:t>29</w:t>
    </w:r>
    <w:r w:rsidRPr="009E72C5">
      <w:rPr>
        <w:rFonts w:ascii="Arial" w:hAnsi="Arial" w:cs="Arial"/>
        <w:sz w:val="14"/>
        <w:szCs w:val="14"/>
      </w:rPr>
      <w:t>/</w:t>
    </w:r>
    <w:r w:rsidR="00117D8C">
      <w:rPr>
        <w:rFonts w:ascii="Arial" w:hAnsi="Arial" w:cs="Arial"/>
        <w:sz w:val="14"/>
        <w:szCs w:val="14"/>
      </w:rPr>
      <w:t>06</w:t>
    </w:r>
    <w:r w:rsidRPr="009E72C5">
      <w:rPr>
        <w:rFonts w:ascii="Arial" w:hAnsi="Arial" w:cs="Arial"/>
        <w:sz w:val="14"/>
        <w:szCs w:val="14"/>
      </w:rPr>
      <w:t>/2018</w:t>
    </w:r>
    <w:r>
      <w:rPr>
        <w:rFonts w:ascii="Arial" w:hAnsi="Arial" w:cs="Arial"/>
        <w:sz w:val="14"/>
        <w:szCs w:val="14"/>
      </w:rPr>
      <w:t>. Revisada e atua</w:t>
    </w:r>
    <w:r w:rsidRPr="00176453">
      <w:rPr>
        <w:rFonts w:ascii="Arial" w:hAnsi="Arial" w:cs="Arial"/>
        <w:sz w:val="14"/>
        <w:szCs w:val="14"/>
      </w:rPr>
      <w:t xml:space="preserve">lizada em </w:t>
    </w:r>
    <w:r w:rsidR="00176453" w:rsidRPr="006812B0">
      <w:rPr>
        <w:rFonts w:ascii="Arial" w:hAnsi="Arial" w:cs="Arial"/>
        <w:sz w:val="14"/>
        <w:szCs w:val="14"/>
      </w:rPr>
      <w:t>2</w:t>
    </w:r>
    <w:r w:rsidR="000F74A1">
      <w:rPr>
        <w:rFonts w:ascii="Arial" w:hAnsi="Arial" w:cs="Arial"/>
        <w:sz w:val="14"/>
        <w:szCs w:val="14"/>
      </w:rPr>
      <w:t>3</w:t>
    </w:r>
    <w:r w:rsidRPr="006812B0">
      <w:rPr>
        <w:rFonts w:ascii="Arial" w:hAnsi="Arial" w:cs="Arial"/>
        <w:sz w:val="14"/>
        <w:szCs w:val="14"/>
      </w:rPr>
      <w:t>/</w:t>
    </w:r>
    <w:r w:rsidRPr="00176453">
      <w:rPr>
        <w:rFonts w:ascii="Arial" w:hAnsi="Arial" w:cs="Arial"/>
        <w:sz w:val="14"/>
        <w:szCs w:val="14"/>
      </w:rPr>
      <w:t>0</w:t>
    </w:r>
    <w:r w:rsidR="000F74A1">
      <w:rPr>
        <w:rFonts w:ascii="Arial" w:hAnsi="Arial" w:cs="Arial"/>
        <w:sz w:val="14"/>
        <w:szCs w:val="14"/>
      </w:rPr>
      <w:t>4</w:t>
    </w:r>
    <w:r w:rsidRPr="00176453">
      <w:rPr>
        <w:rFonts w:ascii="Arial" w:hAnsi="Arial" w:cs="Arial"/>
        <w:sz w:val="14"/>
        <w:szCs w:val="14"/>
      </w:rPr>
      <w:t>/20</w:t>
    </w:r>
    <w:r w:rsidR="000F74A1">
      <w:rPr>
        <w:rFonts w:ascii="Arial" w:hAnsi="Arial" w:cs="Arial"/>
        <w:sz w:val="14"/>
        <w:szCs w:val="14"/>
      </w:rPr>
      <w:t>20</w:t>
    </w:r>
    <w:r w:rsidRPr="00176453">
      <w:rPr>
        <w:rFonts w:ascii="Arial" w:hAnsi="Arial" w:cs="Arial"/>
        <w:sz w:val="14"/>
        <w:szCs w:val="14"/>
      </w:rPr>
      <w:t>.</w:t>
    </w:r>
  </w:p>
  <w:p w14:paraId="42AAB1BC" w14:textId="77777777" w:rsidR="006C246C" w:rsidRDefault="006C246C" w:rsidP="00452208">
    <w:pPr>
      <w:pStyle w:val="Rodap"/>
      <w:rPr>
        <w:rFonts w:ascii="Arial" w:hAnsi="Arial" w:cs="Arial"/>
        <w:sz w:val="14"/>
        <w:szCs w:val="14"/>
      </w:rPr>
    </w:pPr>
  </w:p>
  <w:p w14:paraId="29713E62" w14:textId="77777777" w:rsidR="006C246C" w:rsidRPr="00A73E91" w:rsidRDefault="006C246C" w:rsidP="00452208">
    <w:pPr>
      <w:pStyle w:val="Rodap"/>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A289" w14:textId="77777777" w:rsidR="000B3BE3" w:rsidRDefault="000B3BE3" w:rsidP="00DE34D3">
      <w:pPr>
        <w:spacing w:after="0" w:line="240" w:lineRule="auto"/>
      </w:pPr>
      <w:r>
        <w:separator/>
      </w:r>
    </w:p>
  </w:footnote>
  <w:footnote w:type="continuationSeparator" w:id="0">
    <w:p w14:paraId="7BAB21CD" w14:textId="77777777" w:rsidR="000B3BE3" w:rsidRDefault="000B3BE3" w:rsidP="00DE34D3">
      <w:pPr>
        <w:spacing w:after="0" w:line="240" w:lineRule="auto"/>
      </w:pPr>
      <w:r>
        <w:continuationSeparator/>
      </w:r>
    </w:p>
  </w:footnote>
  <w:footnote w:type="continuationNotice" w:id="1">
    <w:p w14:paraId="06CD82B4" w14:textId="77777777" w:rsidR="000B3BE3" w:rsidRDefault="000B3BE3">
      <w:pPr>
        <w:spacing w:after="0" w:line="240" w:lineRule="auto"/>
      </w:pPr>
    </w:p>
  </w:footnote>
  <w:footnote w:id="2">
    <w:p w14:paraId="72FB772C" w14:textId="77777777" w:rsidR="006C246C" w:rsidRDefault="006C246C" w:rsidP="00F33F41">
      <w:pPr>
        <w:pStyle w:val="Textodenotaderodap"/>
        <w:jc w:val="both"/>
      </w:pPr>
      <w:r>
        <w:rPr>
          <w:rStyle w:val="Refdenotaderodap"/>
        </w:rPr>
        <w:footnoteRef/>
      </w:r>
      <w:r>
        <w:t xml:space="preserve"> Em junho de 2019, a SPDA assinou, junto à </w:t>
      </w:r>
      <w:r w:rsidRPr="006632F4">
        <w:t xml:space="preserve">Companhia Metropolitana </w:t>
      </w:r>
      <w:r>
        <w:t>d</w:t>
      </w:r>
      <w:r w:rsidRPr="006632F4">
        <w:t xml:space="preserve">e Habitação </w:t>
      </w:r>
      <w:r>
        <w:t>d</w:t>
      </w:r>
      <w:r w:rsidRPr="006632F4">
        <w:t>e São Paulo – COHAB-SP</w:t>
      </w:r>
      <w:r>
        <w:t xml:space="preserve"> (Poder Concedente), e aos concessionários, na qualidade de interveniente garantidora, os Contratos de Concessão Administrativa destinados</w:t>
      </w:r>
      <w:r w:rsidRPr="006632F4">
        <w:t xml:space="preserve"> à Implantação de Habitações de Interesse Social e de Mercado Popular na Cidade de São Paulo, acompanhada de Infraestrutura Urbana, Equipamentos Públicos, Empreendimentos Não Residenciais Privados e da </w:t>
      </w:r>
      <w:r>
        <w:t>p</w:t>
      </w:r>
      <w:r w:rsidRPr="006632F4">
        <w:t>restação de serviços</w:t>
      </w:r>
      <w:r>
        <w:t>, referentes a 6 (seis) lotes.</w:t>
      </w:r>
    </w:p>
  </w:footnote>
  <w:footnote w:id="3">
    <w:p w14:paraId="3417D49D" w14:textId="77777777" w:rsidR="006C246C" w:rsidRDefault="006C246C" w:rsidP="00051BCE">
      <w:pPr>
        <w:pStyle w:val="Textodenotaderodap"/>
        <w:jc w:val="both"/>
      </w:pPr>
      <w:r>
        <w:rPr>
          <w:rStyle w:val="Refdenotaderodap"/>
        </w:rPr>
        <w:footnoteRef/>
      </w:r>
      <w:r>
        <w:t xml:space="preserve"> Lei que apresenta disposição relativa à cessão de direitos creditórios decorrentes do </w:t>
      </w:r>
      <w:r w:rsidRPr="00051BCE">
        <w:t>repasse do percentual de 7,5% da receita bruta da SABESP obtida a partir da exploração dos serviços de abastecimento de água e esgotamento sanitário no Município de São Paulo, deduzidos COFINS, PASEP e eventuais inadimplências dos órgãos da administração direta, fundações e autarquias do Município, repassada trimestralmente ao Fundo Municipal de Saneamento Ambiental e Infraestrutura (“</w:t>
      </w:r>
      <w:r w:rsidRPr="00051BCE">
        <w:rPr>
          <w:u w:val="single"/>
        </w:rPr>
        <w:t>FMSAI</w:t>
      </w:r>
      <w:r w:rsidRPr="00051BCE">
        <w:t>”) consoante Lei Municipal nº 14.934, de 2009 e Contrato de Prestação de serviços Públicos de Abastecimento de Água e de Esgotamento Sanitário assinado entre o Estado de São Paulo, Município de São Paulo e a SABESP em 23.6.2010 (“</w:t>
      </w:r>
      <w:r w:rsidRPr="00051BCE">
        <w:rPr>
          <w:u w:val="single"/>
        </w:rPr>
        <w:t>Contrato-Sabesp</w:t>
      </w:r>
      <w:r w:rsidRPr="00051BC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447CE" w14:textId="77777777" w:rsidR="006C246C" w:rsidRDefault="006C246C" w:rsidP="00097CB0">
    <w:pPr>
      <w:pStyle w:val="Cabealho"/>
      <w:jc w:val="center"/>
    </w:pPr>
    <w:r>
      <w:rPr>
        <w:rFonts w:ascii="Arial Narrow" w:hAnsi="Arial Narrow"/>
        <w:b/>
        <w:noProof/>
        <w:lang w:eastAsia="pt-BR"/>
      </w:rPr>
      <w:drawing>
        <wp:inline distT="0" distB="0" distL="0" distR="0" wp14:anchorId="046DDD0F" wp14:editId="05C6425F">
          <wp:extent cx="1781175" cy="704850"/>
          <wp:effectExtent l="0" t="0" r="9525" b="0"/>
          <wp:docPr id="1" name="Imagem 1" descr="SPDA - positivo horizontal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DA - positivo horizontal 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04850"/>
                  </a:xfrm>
                  <a:prstGeom prst="rect">
                    <a:avLst/>
                  </a:prstGeom>
                  <a:noFill/>
                  <a:ln>
                    <a:noFill/>
                  </a:ln>
                </pic:spPr>
              </pic:pic>
            </a:graphicData>
          </a:graphic>
        </wp:inline>
      </w:drawing>
    </w:r>
  </w:p>
  <w:p w14:paraId="0383693B" w14:textId="77777777" w:rsidR="006C246C" w:rsidRDefault="006C246C" w:rsidP="00097CB0">
    <w:pPr>
      <w:pStyle w:val="Cabealho"/>
      <w:jc w:val="center"/>
    </w:pPr>
  </w:p>
  <w:p w14:paraId="6368A32B" w14:textId="77777777" w:rsidR="006C246C" w:rsidRDefault="006C246C" w:rsidP="00097CB0">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EBBE" w14:textId="77777777" w:rsidR="006C246C" w:rsidRDefault="006C246C" w:rsidP="00E557D2">
    <w:pPr>
      <w:pStyle w:val="Cabealho"/>
      <w:jc w:val="center"/>
    </w:pPr>
    <w:r>
      <w:rPr>
        <w:rFonts w:ascii="Arial Narrow" w:hAnsi="Arial Narrow"/>
        <w:b/>
        <w:noProof/>
        <w:lang w:eastAsia="pt-BR"/>
      </w:rPr>
      <w:drawing>
        <wp:inline distT="0" distB="0" distL="0" distR="0" wp14:anchorId="69B291FF" wp14:editId="0297D2C2">
          <wp:extent cx="1781175" cy="704850"/>
          <wp:effectExtent l="0" t="0" r="9525" b="0"/>
          <wp:docPr id="2" name="Imagem 2" descr="SPDA - positivo horizontal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DA - positivo horizontal 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04850"/>
                  </a:xfrm>
                  <a:prstGeom prst="rect">
                    <a:avLst/>
                  </a:prstGeom>
                  <a:noFill/>
                  <a:ln>
                    <a:noFill/>
                  </a:ln>
                </pic:spPr>
              </pic:pic>
            </a:graphicData>
          </a:graphic>
        </wp:inline>
      </w:drawing>
    </w:r>
  </w:p>
  <w:p w14:paraId="3CE6ADAB" w14:textId="77777777" w:rsidR="006C246C" w:rsidRDefault="006C246C" w:rsidP="00E557D2">
    <w:pPr>
      <w:pStyle w:val="Cabealho"/>
      <w:jc w:val="center"/>
    </w:pPr>
  </w:p>
  <w:p w14:paraId="78A14432" w14:textId="77777777" w:rsidR="006C246C" w:rsidRDefault="006C246C" w:rsidP="00E557D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83ECB"/>
    <w:multiLevelType w:val="hybridMultilevel"/>
    <w:tmpl w:val="DF8EEB3C"/>
    <w:lvl w:ilvl="0" w:tplc="157487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3D0978"/>
    <w:multiLevelType w:val="hybridMultilevel"/>
    <w:tmpl w:val="0012E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CDC2B47"/>
    <w:multiLevelType w:val="multilevel"/>
    <w:tmpl w:val="2B40A3A2"/>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15:restartNumberingAfterBreak="0">
    <w:nsid w:val="3E4C3D5C"/>
    <w:multiLevelType w:val="hybridMultilevel"/>
    <w:tmpl w:val="7A5A3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129097E"/>
    <w:multiLevelType w:val="hybridMultilevel"/>
    <w:tmpl w:val="7DE63D74"/>
    <w:lvl w:ilvl="0" w:tplc="1410222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924085"/>
    <w:multiLevelType w:val="hybridMultilevel"/>
    <w:tmpl w:val="E752EC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BF4"/>
    <w:rsid w:val="00004CFC"/>
    <w:rsid w:val="00016BF4"/>
    <w:rsid w:val="0002310E"/>
    <w:rsid w:val="00051BCE"/>
    <w:rsid w:val="00065243"/>
    <w:rsid w:val="00097CB0"/>
    <w:rsid w:val="000B3BE3"/>
    <w:rsid w:val="000C0677"/>
    <w:rsid w:val="000D37D0"/>
    <w:rsid w:val="000F1818"/>
    <w:rsid w:val="000F6BC2"/>
    <w:rsid w:val="000F74A1"/>
    <w:rsid w:val="00117D8C"/>
    <w:rsid w:val="00122664"/>
    <w:rsid w:val="001237A4"/>
    <w:rsid w:val="0012777C"/>
    <w:rsid w:val="00152E9F"/>
    <w:rsid w:val="00163FD5"/>
    <w:rsid w:val="00176453"/>
    <w:rsid w:val="00183BBB"/>
    <w:rsid w:val="00184353"/>
    <w:rsid w:val="001A4F49"/>
    <w:rsid w:val="001A6F1C"/>
    <w:rsid w:val="001C1EF0"/>
    <w:rsid w:val="001C66C6"/>
    <w:rsid w:val="001D3D76"/>
    <w:rsid w:val="001F3796"/>
    <w:rsid w:val="002102F4"/>
    <w:rsid w:val="00210FE0"/>
    <w:rsid w:val="0021177B"/>
    <w:rsid w:val="00215DCD"/>
    <w:rsid w:val="00255324"/>
    <w:rsid w:val="002A1595"/>
    <w:rsid w:val="002B2833"/>
    <w:rsid w:val="002B4710"/>
    <w:rsid w:val="002B55B2"/>
    <w:rsid w:val="002C7FA1"/>
    <w:rsid w:val="002F4E9E"/>
    <w:rsid w:val="003001D2"/>
    <w:rsid w:val="003235C1"/>
    <w:rsid w:val="00335009"/>
    <w:rsid w:val="003411F5"/>
    <w:rsid w:val="00356CF3"/>
    <w:rsid w:val="00357D8B"/>
    <w:rsid w:val="00377573"/>
    <w:rsid w:val="0039186B"/>
    <w:rsid w:val="003C2996"/>
    <w:rsid w:val="003F1A35"/>
    <w:rsid w:val="00400D65"/>
    <w:rsid w:val="00411ADD"/>
    <w:rsid w:val="00445E31"/>
    <w:rsid w:val="00452208"/>
    <w:rsid w:val="00461344"/>
    <w:rsid w:val="004B0651"/>
    <w:rsid w:val="004B2159"/>
    <w:rsid w:val="004B40D5"/>
    <w:rsid w:val="004D0CD6"/>
    <w:rsid w:val="004D5867"/>
    <w:rsid w:val="004D5C0C"/>
    <w:rsid w:val="004F4EF9"/>
    <w:rsid w:val="004F71D2"/>
    <w:rsid w:val="0058643D"/>
    <w:rsid w:val="00590C38"/>
    <w:rsid w:val="006632F4"/>
    <w:rsid w:val="00663522"/>
    <w:rsid w:val="006812B0"/>
    <w:rsid w:val="00684625"/>
    <w:rsid w:val="006858F2"/>
    <w:rsid w:val="006A1438"/>
    <w:rsid w:val="006C246C"/>
    <w:rsid w:val="006D7878"/>
    <w:rsid w:val="006D7B8E"/>
    <w:rsid w:val="007130B9"/>
    <w:rsid w:val="007172B0"/>
    <w:rsid w:val="007175FD"/>
    <w:rsid w:val="007229E4"/>
    <w:rsid w:val="007500F5"/>
    <w:rsid w:val="0075136B"/>
    <w:rsid w:val="00753745"/>
    <w:rsid w:val="007579EE"/>
    <w:rsid w:val="00813BE5"/>
    <w:rsid w:val="00813E66"/>
    <w:rsid w:val="008536D7"/>
    <w:rsid w:val="00871249"/>
    <w:rsid w:val="00874E38"/>
    <w:rsid w:val="008C222A"/>
    <w:rsid w:val="008E36E6"/>
    <w:rsid w:val="009110B3"/>
    <w:rsid w:val="009E1541"/>
    <w:rsid w:val="00A144CE"/>
    <w:rsid w:val="00A16A62"/>
    <w:rsid w:val="00A359CE"/>
    <w:rsid w:val="00A6309B"/>
    <w:rsid w:val="00A631A7"/>
    <w:rsid w:val="00A73E91"/>
    <w:rsid w:val="00A922F7"/>
    <w:rsid w:val="00AA4D6C"/>
    <w:rsid w:val="00AD4A6B"/>
    <w:rsid w:val="00AE37C0"/>
    <w:rsid w:val="00AF6144"/>
    <w:rsid w:val="00AF6669"/>
    <w:rsid w:val="00B00FCA"/>
    <w:rsid w:val="00B069A8"/>
    <w:rsid w:val="00B55DD0"/>
    <w:rsid w:val="00BD7EF9"/>
    <w:rsid w:val="00BF4405"/>
    <w:rsid w:val="00BF47F7"/>
    <w:rsid w:val="00BF5E41"/>
    <w:rsid w:val="00C26D09"/>
    <w:rsid w:val="00C3159F"/>
    <w:rsid w:val="00C3164B"/>
    <w:rsid w:val="00C4573C"/>
    <w:rsid w:val="00C52A5D"/>
    <w:rsid w:val="00C600D7"/>
    <w:rsid w:val="00C724A3"/>
    <w:rsid w:val="00C73070"/>
    <w:rsid w:val="00CA509B"/>
    <w:rsid w:val="00CA51A6"/>
    <w:rsid w:val="00CC5C60"/>
    <w:rsid w:val="00CC7B24"/>
    <w:rsid w:val="00CD1853"/>
    <w:rsid w:val="00CD4BF9"/>
    <w:rsid w:val="00CD6AF8"/>
    <w:rsid w:val="00CE34E8"/>
    <w:rsid w:val="00CF044E"/>
    <w:rsid w:val="00CF507E"/>
    <w:rsid w:val="00D05BE0"/>
    <w:rsid w:val="00D100E6"/>
    <w:rsid w:val="00D25080"/>
    <w:rsid w:val="00D2733E"/>
    <w:rsid w:val="00D32894"/>
    <w:rsid w:val="00D64165"/>
    <w:rsid w:val="00D95A8D"/>
    <w:rsid w:val="00DE0F58"/>
    <w:rsid w:val="00DE34D3"/>
    <w:rsid w:val="00DF2E96"/>
    <w:rsid w:val="00DF6961"/>
    <w:rsid w:val="00E01977"/>
    <w:rsid w:val="00E23828"/>
    <w:rsid w:val="00E35D9A"/>
    <w:rsid w:val="00E43367"/>
    <w:rsid w:val="00E44A80"/>
    <w:rsid w:val="00E531F2"/>
    <w:rsid w:val="00E557D2"/>
    <w:rsid w:val="00E61FF6"/>
    <w:rsid w:val="00E64779"/>
    <w:rsid w:val="00E837EB"/>
    <w:rsid w:val="00E9566E"/>
    <w:rsid w:val="00EA5C4E"/>
    <w:rsid w:val="00EB19F0"/>
    <w:rsid w:val="00EB3D52"/>
    <w:rsid w:val="00EC79BA"/>
    <w:rsid w:val="00ED569D"/>
    <w:rsid w:val="00EF340F"/>
    <w:rsid w:val="00EF4C1B"/>
    <w:rsid w:val="00F33F41"/>
    <w:rsid w:val="00F5296C"/>
    <w:rsid w:val="00F7090E"/>
    <w:rsid w:val="00F73DFF"/>
    <w:rsid w:val="00F747F0"/>
    <w:rsid w:val="00F87D69"/>
    <w:rsid w:val="00FB0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C15B2F"/>
  <w15:docId w15:val="{CDBB2E24-060A-4235-BA64-3DD8E311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Agmt Article Number,h1"/>
    <w:basedOn w:val="Normal"/>
    <w:next w:val="Normal"/>
    <w:link w:val="Ttulo1Char"/>
    <w:qFormat/>
    <w:rsid w:val="00445E31"/>
    <w:pPr>
      <w:keepNext/>
      <w:spacing w:before="240" w:after="60" w:line="240" w:lineRule="auto"/>
      <w:jc w:val="both"/>
      <w:outlineLvl w:val="0"/>
    </w:pPr>
    <w:rPr>
      <w:rFonts w:ascii="Cambria" w:eastAsia="Times New Roman" w:hAnsi="Cambria" w:cs="Times New Roman"/>
      <w:b/>
      <w:bCs/>
      <w:kern w:val="32"/>
      <w:sz w:val="32"/>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6BF4"/>
    <w:pPr>
      <w:spacing w:after="0" w:line="320" w:lineRule="atLeast"/>
      <w:ind w:left="720"/>
      <w:contextualSpacing/>
      <w:jc w:val="both"/>
    </w:pPr>
    <w:rPr>
      <w:rFonts w:ascii="Arial" w:eastAsia="Times New Roman" w:hAnsi="Arial" w:cs="Times New Roman"/>
      <w:sz w:val="24"/>
      <w:szCs w:val="24"/>
      <w:lang w:eastAsia="pt-BR"/>
    </w:rPr>
  </w:style>
  <w:style w:type="character" w:customStyle="1" w:styleId="Ttulo1Char">
    <w:name w:val="Título 1 Char"/>
    <w:aliases w:val="Agmt Article Number Char,h1 Char"/>
    <w:basedOn w:val="Fontepargpadro"/>
    <w:link w:val="Ttulo1"/>
    <w:rsid w:val="00445E31"/>
    <w:rPr>
      <w:rFonts w:ascii="Cambria" w:eastAsia="Times New Roman" w:hAnsi="Cambria" w:cs="Times New Roman"/>
      <w:b/>
      <w:bCs/>
      <w:kern w:val="32"/>
      <w:sz w:val="32"/>
      <w:szCs w:val="32"/>
      <w:lang w:val="x-none" w:eastAsia="x-none"/>
    </w:rPr>
  </w:style>
  <w:style w:type="paragraph" w:customStyle="1" w:styleId="EDP-TEXTONORMAL">
    <w:name w:val="EDP - TEXTO NORMAL"/>
    <w:basedOn w:val="Normal"/>
    <w:qFormat/>
    <w:rsid w:val="00445E31"/>
    <w:pPr>
      <w:widowControl w:val="0"/>
      <w:suppressAutoHyphens/>
      <w:spacing w:after="200" w:line="240" w:lineRule="auto"/>
      <w:jc w:val="both"/>
    </w:pPr>
    <w:rPr>
      <w:rFonts w:ascii="Tahoma" w:eastAsia="MS Mincho" w:hAnsi="Tahoma" w:cs="Tahoma"/>
      <w:sz w:val="20"/>
      <w:szCs w:val="20"/>
      <w:lang w:eastAsia="ar-SA"/>
    </w:rPr>
  </w:style>
  <w:style w:type="paragraph" w:customStyle="1" w:styleId="Default">
    <w:name w:val="Default"/>
    <w:rsid w:val="00D05BE0"/>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CF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DE34D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34D3"/>
    <w:rPr>
      <w:sz w:val="20"/>
      <w:szCs w:val="20"/>
    </w:rPr>
  </w:style>
  <w:style w:type="character" w:styleId="Refdenotaderodap">
    <w:name w:val="footnote reference"/>
    <w:basedOn w:val="Fontepargpadro"/>
    <w:uiPriority w:val="99"/>
    <w:semiHidden/>
    <w:unhideWhenUsed/>
    <w:rsid w:val="00DE34D3"/>
    <w:rPr>
      <w:vertAlign w:val="superscript"/>
    </w:rPr>
  </w:style>
  <w:style w:type="paragraph" w:styleId="Cabealho">
    <w:name w:val="header"/>
    <w:basedOn w:val="Normal"/>
    <w:link w:val="CabealhoChar"/>
    <w:uiPriority w:val="99"/>
    <w:unhideWhenUsed/>
    <w:rsid w:val="00CD18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1853"/>
  </w:style>
  <w:style w:type="table" w:customStyle="1" w:styleId="SombreamentoClaro2">
    <w:name w:val="Sombreamento Claro2"/>
    <w:basedOn w:val="Tabelanormal"/>
    <w:uiPriority w:val="60"/>
    <w:rsid w:val="00F87D69"/>
    <w:pPr>
      <w:spacing w:after="0" w:line="240" w:lineRule="auto"/>
    </w:pPr>
    <w:rPr>
      <w:rFonts w:eastAsiaTheme="minorEastAsia"/>
      <w:color w:val="000000" w:themeColor="text1" w:themeShade="BF"/>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4F4EF9"/>
    <w:rPr>
      <w:sz w:val="16"/>
      <w:szCs w:val="16"/>
    </w:rPr>
  </w:style>
  <w:style w:type="paragraph" w:styleId="Textodecomentrio">
    <w:name w:val="annotation text"/>
    <w:basedOn w:val="Normal"/>
    <w:link w:val="TextodecomentrioChar"/>
    <w:uiPriority w:val="99"/>
    <w:semiHidden/>
    <w:unhideWhenUsed/>
    <w:rsid w:val="004F4E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4EF9"/>
    <w:rPr>
      <w:sz w:val="20"/>
      <w:szCs w:val="20"/>
    </w:rPr>
  </w:style>
  <w:style w:type="paragraph" w:styleId="Assuntodocomentrio">
    <w:name w:val="annotation subject"/>
    <w:basedOn w:val="Textodecomentrio"/>
    <w:next w:val="Textodecomentrio"/>
    <w:link w:val="AssuntodocomentrioChar"/>
    <w:uiPriority w:val="99"/>
    <w:semiHidden/>
    <w:unhideWhenUsed/>
    <w:rsid w:val="004F4EF9"/>
    <w:rPr>
      <w:b/>
      <w:bCs/>
    </w:rPr>
  </w:style>
  <w:style w:type="character" w:customStyle="1" w:styleId="AssuntodocomentrioChar">
    <w:name w:val="Assunto do comentário Char"/>
    <w:basedOn w:val="TextodecomentrioChar"/>
    <w:link w:val="Assuntodocomentrio"/>
    <w:uiPriority w:val="99"/>
    <w:semiHidden/>
    <w:rsid w:val="004F4EF9"/>
    <w:rPr>
      <w:b/>
      <w:bCs/>
      <w:sz w:val="20"/>
      <w:szCs w:val="20"/>
    </w:rPr>
  </w:style>
  <w:style w:type="paragraph" w:styleId="Textodebalo">
    <w:name w:val="Balloon Text"/>
    <w:basedOn w:val="Normal"/>
    <w:link w:val="TextodebaloChar"/>
    <w:uiPriority w:val="99"/>
    <w:semiHidden/>
    <w:unhideWhenUsed/>
    <w:rsid w:val="004F4E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EF9"/>
    <w:rPr>
      <w:rFonts w:ascii="Segoe UI" w:hAnsi="Segoe UI" w:cs="Segoe UI"/>
      <w:sz w:val="18"/>
      <w:szCs w:val="18"/>
    </w:rPr>
  </w:style>
  <w:style w:type="paragraph" w:styleId="Rodap">
    <w:name w:val="footer"/>
    <w:basedOn w:val="Normal"/>
    <w:link w:val="RodapChar"/>
    <w:uiPriority w:val="99"/>
    <w:unhideWhenUsed/>
    <w:rsid w:val="00097CB0"/>
    <w:pPr>
      <w:tabs>
        <w:tab w:val="center" w:pos="4252"/>
        <w:tab w:val="right" w:pos="8504"/>
      </w:tabs>
      <w:spacing w:after="0" w:line="240" w:lineRule="auto"/>
    </w:pPr>
  </w:style>
  <w:style w:type="character" w:customStyle="1" w:styleId="RodapChar">
    <w:name w:val="Rodapé Char"/>
    <w:basedOn w:val="Fontepargpadro"/>
    <w:link w:val="Rodap"/>
    <w:uiPriority w:val="99"/>
    <w:rsid w:val="00097CB0"/>
  </w:style>
  <w:style w:type="paragraph" w:styleId="Reviso">
    <w:name w:val="Revision"/>
    <w:hidden/>
    <w:uiPriority w:val="99"/>
    <w:semiHidden/>
    <w:rsid w:val="00127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D1F60-548D-4D9D-B9AD-BA90049EAA2B}">
  <ds:schemaRefs>
    <ds:schemaRef ds:uri="http://schemas.openxmlformats.org/officeDocument/2006/bibliography"/>
  </ds:schemaRefs>
</ds:datastoreItem>
</file>

<file path=customXml/itemProps2.xml><?xml version="1.0" encoding="utf-8"?>
<ds:datastoreItem xmlns:ds="http://schemas.openxmlformats.org/officeDocument/2006/customXml" ds:itemID="{C2989B0F-A9B9-4F45-A3AF-4AD26707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3094</Words>
  <Characters>16713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SMF - Secretaria de Finanças</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de Sa Nascimento</dc:creator>
  <cp:lastModifiedBy>Patricia Meneghini da Silva</cp:lastModifiedBy>
  <cp:revision>16</cp:revision>
  <dcterms:created xsi:type="dcterms:W3CDTF">2019-11-11T13:39:00Z</dcterms:created>
  <dcterms:modified xsi:type="dcterms:W3CDTF">2020-10-06T17:54:00Z</dcterms:modified>
</cp:coreProperties>
</file>