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19A5C" w14:textId="77777777" w:rsidR="00704E48" w:rsidRDefault="00CE6C13" w:rsidP="00715389">
      <w:pPr>
        <w:spacing w:after="0" w:line="320" w:lineRule="exact"/>
        <w:jc w:val="center"/>
        <w:rPr>
          <w:b/>
        </w:rPr>
      </w:pPr>
      <w:r>
        <w:rPr>
          <w:b/>
        </w:rPr>
        <w:t>RELATÓRIO DE SUSTENT</w:t>
      </w:r>
      <w:r w:rsidR="00016BF4">
        <w:rPr>
          <w:b/>
        </w:rPr>
        <w:t>A</w:t>
      </w:r>
      <w:r>
        <w:rPr>
          <w:b/>
        </w:rPr>
        <w:t>BILIDADE</w:t>
      </w:r>
      <w:r w:rsidR="00016BF4">
        <w:rPr>
          <w:b/>
        </w:rPr>
        <w:t xml:space="preserve"> DA COMPANHIA </w:t>
      </w:r>
      <w:r w:rsidR="00EC79BA">
        <w:rPr>
          <w:b/>
        </w:rPr>
        <w:t>SÃO PAULO DE DESENVOLVIMENTO E MOBILIZAÇÃO DE ATIVOS</w:t>
      </w:r>
      <w:r w:rsidR="00AD4A6B">
        <w:rPr>
          <w:b/>
        </w:rPr>
        <w:t xml:space="preserve"> – SP</w:t>
      </w:r>
      <w:r w:rsidR="00EC79BA">
        <w:rPr>
          <w:b/>
        </w:rPr>
        <w:t>DA</w:t>
      </w:r>
    </w:p>
    <w:p w14:paraId="05EB9C02" w14:textId="77777777" w:rsidR="00D57681" w:rsidRDefault="00D57681" w:rsidP="00715389">
      <w:pPr>
        <w:spacing w:after="0" w:line="320" w:lineRule="exact"/>
        <w:jc w:val="center"/>
        <w:rPr>
          <w:b/>
        </w:rPr>
      </w:pPr>
    </w:p>
    <w:p w14:paraId="3ACCB15F" w14:textId="77777777" w:rsidR="00B9019F" w:rsidRDefault="00B9019F" w:rsidP="00715389">
      <w:pPr>
        <w:spacing w:after="0" w:line="320" w:lineRule="exact"/>
        <w:jc w:val="center"/>
        <w:rPr>
          <w:b/>
        </w:rPr>
      </w:pPr>
    </w:p>
    <w:p w14:paraId="59BD6FA3" w14:textId="77777777" w:rsidR="00F24CAA" w:rsidRDefault="00F24CAA" w:rsidP="00715389">
      <w:pPr>
        <w:spacing w:after="0" w:line="320" w:lineRule="exact"/>
        <w:jc w:val="center"/>
        <w:rPr>
          <w:b/>
        </w:rPr>
      </w:pPr>
    </w:p>
    <w:p w14:paraId="5370B028" w14:textId="77777777" w:rsidR="00C01F41" w:rsidRDefault="00C01F41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I – OBJETO</w:t>
      </w:r>
    </w:p>
    <w:p w14:paraId="2522D69C" w14:textId="77777777" w:rsidR="002A6994" w:rsidRDefault="00E27C48" w:rsidP="00715389">
      <w:pPr>
        <w:pStyle w:val="Default"/>
        <w:spacing w:before="120" w:after="12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 presente documento (“</w:t>
      </w:r>
      <w:r w:rsidRPr="00715389">
        <w:rPr>
          <w:rFonts w:ascii="Calibri" w:hAnsi="Calibri"/>
          <w:b/>
          <w:bCs/>
          <w:sz w:val="22"/>
          <w:szCs w:val="22"/>
        </w:rPr>
        <w:t>Relatório de Sustentabilidade</w:t>
      </w:r>
      <w:r>
        <w:rPr>
          <w:rFonts w:ascii="Calibri" w:hAnsi="Calibri"/>
          <w:bCs/>
          <w:sz w:val="22"/>
          <w:szCs w:val="22"/>
        </w:rPr>
        <w:t>”</w:t>
      </w:r>
      <w:r w:rsidR="00704E48">
        <w:rPr>
          <w:rFonts w:ascii="Calibri" w:hAnsi="Calibri"/>
          <w:bCs/>
          <w:sz w:val="22"/>
          <w:szCs w:val="22"/>
        </w:rPr>
        <w:t xml:space="preserve"> ou “</w:t>
      </w:r>
      <w:r w:rsidR="00704E48" w:rsidRPr="00715389">
        <w:rPr>
          <w:rFonts w:ascii="Calibri" w:hAnsi="Calibri"/>
          <w:b/>
          <w:bCs/>
          <w:sz w:val="22"/>
          <w:szCs w:val="22"/>
        </w:rPr>
        <w:t>Relatório</w:t>
      </w:r>
      <w:r w:rsidR="00704E48">
        <w:rPr>
          <w:rFonts w:ascii="Calibri" w:hAnsi="Calibri"/>
          <w:bCs/>
          <w:sz w:val="22"/>
          <w:szCs w:val="22"/>
        </w:rPr>
        <w:t>”</w:t>
      </w:r>
      <w:r>
        <w:rPr>
          <w:rFonts w:ascii="Calibri" w:hAnsi="Calibri"/>
          <w:bCs/>
          <w:sz w:val="22"/>
          <w:szCs w:val="22"/>
        </w:rPr>
        <w:t xml:space="preserve">) </w:t>
      </w:r>
      <w:r w:rsidR="002A6994">
        <w:rPr>
          <w:rFonts w:ascii="Calibri" w:hAnsi="Calibri"/>
          <w:bCs/>
          <w:sz w:val="22"/>
          <w:szCs w:val="22"/>
        </w:rPr>
        <w:t>objetiva a divulgação dos compromissos institucionais da Companhia São Paulo de Desenvolvimento e Mobilização de Ativos (“</w:t>
      </w:r>
      <w:r w:rsidR="002A6994" w:rsidRPr="00715389">
        <w:rPr>
          <w:rFonts w:ascii="Calibri" w:hAnsi="Calibri"/>
          <w:b/>
          <w:bCs/>
          <w:sz w:val="22"/>
          <w:szCs w:val="22"/>
        </w:rPr>
        <w:t>SPDA</w:t>
      </w:r>
      <w:r w:rsidR="002A6994">
        <w:rPr>
          <w:rFonts w:ascii="Calibri" w:hAnsi="Calibri"/>
          <w:b/>
          <w:bCs/>
          <w:sz w:val="22"/>
          <w:szCs w:val="22"/>
        </w:rPr>
        <w:t xml:space="preserve"> </w:t>
      </w:r>
      <w:r w:rsidR="002A6994" w:rsidRPr="00715389">
        <w:rPr>
          <w:rFonts w:ascii="Calibri" w:hAnsi="Calibri"/>
          <w:bCs/>
          <w:sz w:val="22"/>
          <w:szCs w:val="22"/>
        </w:rPr>
        <w:t>ou</w:t>
      </w:r>
      <w:r w:rsidR="002A6994">
        <w:rPr>
          <w:rFonts w:ascii="Calibri" w:hAnsi="Calibri"/>
          <w:b/>
          <w:bCs/>
          <w:sz w:val="22"/>
          <w:szCs w:val="22"/>
        </w:rPr>
        <w:t xml:space="preserve"> </w:t>
      </w:r>
      <w:r w:rsidR="002A6994" w:rsidRPr="00715389">
        <w:rPr>
          <w:rFonts w:ascii="Calibri" w:hAnsi="Calibri"/>
          <w:bCs/>
          <w:sz w:val="22"/>
          <w:szCs w:val="22"/>
        </w:rPr>
        <w:t>“</w:t>
      </w:r>
      <w:r w:rsidR="002A6994">
        <w:rPr>
          <w:rFonts w:ascii="Calibri" w:hAnsi="Calibri"/>
          <w:b/>
          <w:bCs/>
          <w:sz w:val="22"/>
          <w:szCs w:val="22"/>
        </w:rPr>
        <w:t>Companhia</w:t>
      </w:r>
      <w:r w:rsidR="002A6994">
        <w:rPr>
          <w:rFonts w:ascii="Calibri" w:hAnsi="Calibri"/>
          <w:bCs/>
          <w:sz w:val="22"/>
          <w:szCs w:val="22"/>
        </w:rPr>
        <w:t>”) relacionados à governança corporativa, bem como exposição de sua visão, missão e valores. Também s</w:t>
      </w:r>
      <w:r w:rsidR="00704E48">
        <w:rPr>
          <w:rFonts w:ascii="Calibri" w:hAnsi="Calibri"/>
          <w:bCs/>
          <w:sz w:val="22"/>
          <w:szCs w:val="22"/>
        </w:rPr>
        <w:t>ão</w:t>
      </w:r>
      <w:r w:rsidR="002A6994">
        <w:rPr>
          <w:rFonts w:ascii="Calibri" w:hAnsi="Calibri"/>
          <w:bCs/>
          <w:sz w:val="22"/>
          <w:szCs w:val="22"/>
        </w:rPr>
        <w:t xml:space="preserve"> apresentadas </w:t>
      </w:r>
      <w:r w:rsidR="00704E48">
        <w:rPr>
          <w:rFonts w:ascii="Calibri" w:hAnsi="Calibri"/>
          <w:bCs/>
          <w:sz w:val="22"/>
          <w:szCs w:val="22"/>
        </w:rPr>
        <w:t xml:space="preserve">neste documento </w:t>
      </w:r>
      <w:r w:rsidR="002A6994">
        <w:rPr>
          <w:rFonts w:ascii="Calibri" w:hAnsi="Calibri"/>
          <w:bCs/>
          <w:sz w:val="22"/>
          <w:szCs w:val="22"/>
        </w:rPr>
        <w:t>as principais informações sobre o negócio da Companhia.</w:t>
      </w:r>
    </w:p>
    <w:p w14:paraId="448FDD9D" w14:textId="77777777" w:rsidR="00C01F41" w:rsidRDefault="002A6994" w:rsidP="00715389">
      <w:pPr>
        <w:pStyle w:val="Default"/>
        <w:spacing w:before="120" w:after="12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Este Relatório é </w:t>
      </w:r>
      <w:r w:rsidR="00E27C48">
        <w:rPr>
          <w:rFonts w:ascii="Calibri" w:hAnsi="Calibri"/>
          <w:bCs/>
          <w:sz w:val="22"/>
          <w:szCs w:val="22"/>
        </w:rPr>
        <w:t>elaborado e divulgado conforme as determinações da Lei nº 13.303, de 2016</w:t>
      </w:r>
      <w:r w:rsidR="00B87A78">
        <w:rPr>
          <w:rFonts w:ascii="Calibri" w:hAnsi="Calibri"/>
          <w:bCs/>
          <w:sz w:val="22"/>
          <w:szCs w:val="22"/>
        </w:rPr>
        <w:t>,</w:t>
      </w:r>
      <w:r w:rsidR="00E27C48">
        <w:rPr>
          <w:rFonts w:ascii="Calibri" w:hAnsi="Calibri"/>
          <w:bCs/>
          <w:sz w:val="22"/>
          <w:szCs w:val="22"/>
        </w:rPr>
        <w:t xml:space="preserve"> e do Decreto Municipal nº </w:t>
      </w:r>
      <w:r>
        <w:rPr>
          <w:rFonts w:ascii="Calibri" w:hAnsi="Calibri"/>
          <w:bCs/>
          <w:sz w:val="22"/>
          <w:szCs w:val="22"/>
        </w:rPr>
        <w:t>58.093, de 2018. Fundamenta-se também na legislação sobre acesso a informações de interesse público, especialmente na Lei Federal nº 12.527, de 2001</w:t>
      </w:r>
      <w:r w:rsidR="0094596D">
        <w:rPr>
          <w:rFonts w:ascii="Calibri" w:hAnsi="Calibri"/>
          <w:bCs/>
          <w:sz w:val="22"/>
          <w:szCs w:val="22"/>
        </w:rPr>
        <w:t xml:space="preserve">, </w:t>
      </w:r>
      <w:r w:rsidR="00704E48">
        <w:rPr>
          <w:rFonts w:ascii="Calibri" w:hAnsi="Calibri"/>
          <w:bCs/>
          <w:sz w:val="22"/>
          <w:szCs w:val="22"/>
        </w:rPr>
        <w:t>e é subscrito pelos membros da D</w:t>
      </w:r>
      <w:r w:rsidR="0094596D">
        <w:rPr>
          <w:rFonts w:ascii="Calibri" w:hAnsi="Calibri"/>
          <w:bCs/>
          <w:sz w:val="22"/>
          <w:szCs w:val="22"/>
        </w:rPr>
        <w:t xml:space="preserve">iretoria </w:t>
      </w:r>
      <w:r w:rsidR="00704E48">
        <w:rPr>
          <w:rFonts w:ascii="Calibri" w:hAnsi="Calibri"/>
          <w:bCs/>
          <w:sz w:val="22"/>
          <w:szCs w:val="22"/>
        </w:rPr>
        <w:t xml:space="preserve">Executiva </w:t>
      </w:r>
      <w:r w:rsidR="0094596D">
        <w:rPr>
          <w:rFonts w:ascii="Calibri" w:hAnsi="Calibri"/>
          <w:bCs/>
          <w:sz w:val="22"/>
          <w:szCs w:val="22"/>
        </w:rPr>
        <w:t>da SPDA</w:t>
      </w:r>
      <w:r w:rsidR="00704E48">
        <w:rPr>
          <w:rFonts w:ascii="Calibri" w:hAnsi="Calibri"/>
          <w:bCs/>
          <w:sz w:val="22"/>
          <w:szCs w:val="22"/>
        </w:rPr>
        <w:t xml:space="preserve"> e de seu Conselho de Administração</w:t>
      </w:r>
      <w:r>
        <w:rPr>
          <w:rFonts w:ascii="Calibri" w:hAnsi="Calibri"/>
          <w:bCs/>
          <w:sz w:val="22"/>
          <w:szCs w:val="22"/>
        </w:rPr>
        <w:t>.</w:t>
      </w:r>
    </w:p>
    <w:p w14:paraId="5E3599B0" w14:textId="77777777" w:rsidR="000715D3" w:rsidRDefault="002A6994" w:rsidP="00715389">
      <w:pPr>
        <w:pStyle w:val="Default"/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II – GOVERNANÇA CORPORATIVA</w:t>
      </w:r>
      <w:r w:rsidR="000715D3">
        <w:rPr>
          <w:rFonts w:ascii="Calibri" w:hAnsi="Calibri"/>
          <w:b/>
          <w:bCs/>
          <w:sz w:val="22"/>
          <w:szCs w:val="22"/>
        </w:rPr>
        <w:t xml:space="preserve"> </w:t>
      </w:r>
    </w:p>
    <w:p w14:paraId="4955E3FB" w14:textId="77777777" w:rsidR="009E4D83" w:rsidRDefault="009E4D83" w:rsidP="00715389">
      <w:pPr>
        <w:spacing w:before="120" w:after="120"/>
        <w:jc w:val="both"/>
      </w:pPr>
      <w:r>
        <w:t>A SPDA é uma sociedade por ações constituída em 2007, conforme autorização da Lei Municipal nº 14.649</w:t>
      </w:r>
      <w:r w:rsidR="00B87A78">
        <w:t>,</w:t>
      </w:r>
      <w:r>
        <w:t xml:space="preserve"> do mesmo ano. </w:t>
      </w:r>
      <w:r w:rsidR="00E131C8">
        <w:t>É controlada pelo Município de São Paulo e vinculada à Secretaria Municipal de Fazenda.</w:t>
      </w:r>
    </w:p>
    <w:p w14:paraId="7F17F55D" w14:textId="77777777" w:rsidR="009E4D83" w:rsidRDefault="004D1704" w:rsidP="00715389">
      <w:pPr>
        <w:spacing w:before="120" w:after="120"/>
        <w:jc w:val="both"/>
      </w:pPr>
      <w:r>
        <w:t>As informações da Companhia relativas a contratações e demais atividades própria</w:t>
      </w:r>
      <w:r w:rsidR="0070296C">
        <w:t>s</w:t>
      </w:r>
      <w:r>
        <w:t xml:space="preserve"> são realizadas de acordo com a legislação pertinente, estatuto social da Companhia, e suas políticas</w:t>
      </w:r>
      <w:r w:rsidR="00B87A78">
        <w:t>:</w:t>
      </w:r>
      <w:r>
        <w:t xml:space="preserve"> (i) de atos e fatos relevantes; (</w:t>
      </w:r>
      <w:proofErr w:type="spellStart"/>
      <w:r>
        <w:t>ii</w:t>
      </w:r>
      <w:proofErr w:type="spellEnd"/>
      <w:r>
        <w:t>) de transação entre partes relacionadas; (</w:t>
      </w:r>
      <w:proofErr w:type="spellStart"/>
      <w:r>
        <w:t>iii</w:t>
      </w:r>
      <w:proofErr w:type="spellEnd"/>
      <w:r>
        <w:t>) de porta-vozes; (</w:t>
      </w:r>
      <w:proofErr w:type="spellStart"/>
      <w:r>
        <w:t>iv</w:t>
      </w:r>
      <w:proofErr w:type="spellEnd"/>
      <w:r>
        <w:t xml:space="preserve">) de dividendos; (v) de destinação de resultados; (vi) </w:t>
      </w:r>
      <w:r w:rsidR="00704E48">
        <w:t>C</w:t>
      </w:r>
      <w:r>
        <w:t xml:space="preserve">ompromisso de Desempenho Institucional; e (vi) Carta Anual de Governança – além deste Relatório de Sustentabilidade. As informações, conforme sua matéria, são divulgadas no Diário Oficial do Município, bem como no Jornal </w:t>
      </w:r>
      <w:r w:rsidR="004323B8">
        <w:t>Diário Comercial</w:t>
      </w:r>
      <w:r>
        <w:t>, além de divulgad</w:t>
      </w:r>
      <w:r w:rsidR="004323B8">
        <w:t>as no Portal da Transparência da</w:t>
      </w:r>
      <w:r>
        <w:t xml:space="preserve"> </w:t>
      </w:r>
      <w:r w:rsidR="004323B8">
        <w:t xml:space="preserve">Prefeitura do </w:t>
      </w:r>
      <w:r>
        <w:t>Município de São Paulo</w:t>
      </w:r>
      <w:r w:rsidR="00704E48">
        <w:t xml:space="preserve"> e no site institucional da Companhia</w:t>
      </w:r>
      <w:r>
        <w:t>.</w:t>
      </w:r>
    </w:p>
    <w:p w14:paraId="552CE12D" w14:textId="77777777" w:rsidR="004D1704" w:rsidRDefault="004D1704" w:rsidP="00715389">
      <w:pPr>
        <w:spacing w:before="120" w:after="120"/>
        <w:jc w:val="both"/>
      </w:pPr>
      <w:r>
        <w:t>O Conselho de Administração é o órgão mais alto de governança da Companhia. Sua composição atende os requisitos da Lei nº 13.303, de 2016, e do Decreto Municipal nº 58.093, de 2018, e a eleição de seus membros é realizada por Assembleia Geral, conforme as determinações do Estatuto Social. Dentre outras atribuições estatutárias, c</w:t>
      </w:r>
      <w:r w:rsidRPr="004D1704">
        <w:t>ompete a</w:t>
      </w:r>
      <w:r w:rsidR="004323B8">
        <w:t xml:space="preserve"> esse conselho</w:t>
      </w:r>
      <w:r w:rsidRPr="004D1704">
        <w:t xml:space="preserve"> </w:t>
      </w:r>
      <w:r w:rsidR="0070296C">
        <w:t xml:space="preserve">eleger a Diretoria Executiva, </w:t>
      </w:r>
      <w:r w:rsidRPr="004D1704">
        <w:t>orientar os negócios da Companhia com relação a questões estratégicas</w:t>
      </w:r>
      <w:r w:rsidR="00D57681">
        <w:t>,</w:t>
      </w:r>
      <w:r w:rsidRPr="004D1704">
        <w:t xml:space="preserve"> monitorar a implantação e execução dos planos e da operação pela Diretoria</w:t>
      </w:r>
      <w:r w:rsidR="00D57681">
        <w:t>, e observar os limites financeiros de contratação</w:t>
      </w:r>
      <w:r w:rsidRPr="004D1704">
        <w:t>.</w:t>
      </w:r>
      <w:r w:rsidR="00D57681">
        <w:t xml:space="preserve"> Realiza reuniões mensais.</w:t>
      </w:r>
    </w:p>
    <w:p w14:paraId="35C766DF" w14:textId="77777777" w:rsidR="004D5357" w:rsidRDefault="0070296C" w:rsidP="00715389">
      <w:pPr>
        <w:spacing w:before="120" w:after="120"/>
        <w:jc w:val="both"/>
      </w:pPr>
      <w:r>
        <w:t>T</w:t>
      </w:r>
      <w:r w:rsidR="004D5357">
        <w:t xml:space="preserve">ambém compõe a estrutura de governança da Companhia o Conselho Fiscal, cujos membros são indicados, conforme o estatuto social, pela Assembleia Geral. </w:t>
      </w:r>
      <w:r w:rsidR="00D57681">
        <w:t>Funciona de modo permanente, com reuniões mensais, e s</w:t>
      </w:r>
      <w:r w:rsidR="004D5357">
        <w:t xml:space="preserve">uas funções abarcam aquelas do Comitê de Auditoria Independente – órgão necessariamente apartado em empresas estatais com receita operacional bruta </w:t>
      </w:r>
      <w:r w:rsidR="004323B8">
        <w:t>superior</w:t>
      </w:r>
      <w:r w:rsidR="004D5357">
        <w:t xml:space="preserve"> a R$ 90.000.000,00 (noventa milhões de reais)</w:t>
      </w:r>
      <w:r w:rsidR="004323B8">
        <w:t>, o que não corresponde à realidade da Companhia</w:t>
      </w:r>
      <w:r w:rsidR="004D5357">
        <w:t>.</w:t>
      </w:r>
    </w:p>
    <w:p w14:paraId="3DC24597" w14:textId="77777777" w:rsidR="00D57681" w:rsidRPr="00D57681" w:rsidRDefault="00D57681" w:rsidP="00D57681">
      <w:pPr>
        <w:spacing w:before="120" w:after="120"/>
        <w:jc w:val="both"/>
      </w:pPr>
      <w:r w:rsidRPr="00D57681">
        <w:lastRenderedPageBreak/>
        <w:t>Ademais disto, como empresa atuante no mercado de capitais, atende às regras da Comissão de Valores Mobiliários pertinentes a fim de garantir transparência, sólidas práticas de governança, e evitar, desta feita, ris</w:t>
      </w:r>
      <w:r>
        <w:t>cos decorrentes de sua atuação.</w:t>
      </w:r>
    </w:p>
    <w:p w14:paraId="60F47DC2" w14:textId="77777777" w:rsidR="00D57681" w:rsidRDefault="00D57681" w:rsidP="00715389">
      <w:pPr>
        <w:spacing w:before="120" w:after="120"/>
        <w:jc w:val="both"/>
      </w:pPr>
      <w:r w:rsidRPr="00D57681">
        <w:t>Em relação aos controles adotados pela empresa estatal para assegurar a elaboração de demonstrações financeiras confiáveis, consultar o item nº </w:t>
      </w:r>
      <w:r w:rsidR="00F16C06">
        <w:t>3</w:t>
      </w:r>
      <w:r w:rsidRPr="00D57681">
        <w:t xml:space="preserve"> das Notas explicativas às demonstrações contábeis referentes aos exercícios findos em 31 de dezembro de </w:t>
      </w:r>
      <w:r w:rsidR="00F16C06">
        <w:t>2018</w:t>
      </w:r>
      <w:r w:rsidRPr="00D57681">
        <w:t>.</w:t>
      </w:r>
    </w:p>
    <w:p w14:paraId="1E895565" w14:textId="77777777" w:rsidR="00CF329B" w:rsidRDefault="00CF329B" w:rsidP="00715389">
      <w:pPr>
        <w:autoSpaceDE w:val="0"/>
        <w:autoSpaceDN w:val="0"/>
        <w:spacing w:before="120" w:after="120"/>
        <w:jc w:val="both"/>
        <w:rPr>
          <w:b/>
          <w:bCs/>
          <w:color w:val="000000"/>
          <w:lang w:eastAsia="pt-BR"/>
        </w:rPr>
      </w:pPr>
      <w:r w:rsidRPr="00F5577A">
        <w:rPr>
          <w:b/>
          <w:bCs/>
          <w:color w:val="000000"/>
          <w:lang w:eastAsia="pt-BR"/>
        </w:rPr>
        <w:t>I</w:t>
      </w:r>
      <w:r>
        <w:rPr>
          <w:b/>
          <w:bCs/>
          <w:color w:val="000000"/>
          <w:lang w:eastAsia="pt-BR"/>
        </w:rPr>
        <w:t>II – GESTÃO DE RISCOS</w:t>
      </w:r>
    </w:p>
    <w:p w14:paraId="159DB5F9" w14:textId="77777777" w:rsidR="00CF329B" w:rsidRDefault="00CF329B" w:rsidP="00715389">
      <w:pPr>
        <w:autoSpaceDE w:val="0"/>
        <w:autoSpaceDN w:val="0"/>
        <w:spacing w:before="120" w:after="120"/>
        <w:jc w:val="both"/>
        <w:rPr>
          <w:bCs/>
          <w:color w:val="000000"/>
          <w:lang w:eastAsia="pt-BR"/>
        </w:rPr>
      </w:pPr>
      <w:r>
        <w:rPr>
          <w:bCs/>
          <w:color w:val="000000"/>
          <w:lang w:eastAsia="pt-BR"/>
        </w:rPr>
        <w:t xml:space="preserve">A fim de zelar por seus compromissos de transparência e equidade, segundo suas normas internas de governança, a Companhia adota procedimentos claros para evitar </w:t>
      </w:r>
      <w:r w:rsidR="004323B8">
        <w:rPr>
          <w:bCs/>
          <w:color w:val="000000"/>
          <w:lang w:eastAsia="pt-BR"/>
        </w:rPr>
        <w:t xml:space="preserve">o uso indevido </w:t>
      </w:r>
      <w:r>
        <w:rPr>
          <w:bCs/>
          <w:color w:val="000000"/>
          <w:lang w:eastAsia="pt-BR"/>
        </w:rPr>
        <w:t>de informações confidenciais e para a correta divulgação de atos ou fatos relevantes.</w:t>
      </w:r>
    </w:p>
    <w:p w14:paraId="5E5AC05C" w14:textId="77777777" w:rsidR="00CF329B" w:rsidRDefault="00CF329B" w:rsidP="00715389">
      <w:pPr>
        <w:autoSpaceDE w:val="0"/>
        <w:autoSpaceDN w:val="0"/>
        <w:spacing w:before="120" w:after="120"/>
        <w:jc w:val="both"/>
        <w:rPr>
          <w:bCs/>
          <w:color w:val="000000"/>
          <w:lang w:eastAsia="pt-BR"/>
        </w:rPr>
      </w:pPr>
      <w:r>
        <w:rPr>
          <w:bCs/>
          <w:color w:val="000000"/>
          <w:lang w:eastAsia="pt-BR"/>
        </w:rPr>
        <w:t>Os quadros abaixo sintetizam a estrutura de encaminhamento de informações e procedimento para sua divulgação:</w:t>
      </w:r>
    </w:p>
    <w:p w14:paraId="5A927E62" w14:textId="77777777" w:rsidR="00D57681" w:rsidRPr="00715389" w:rsidRDefault="00D57681" w:rsidP="00715389">
      <w:pPr>
        <w:autoSpaceDE w:val="0"/>
        <w:autoSpaceDN w:val="0"/>
        <w:spacing w:before="120" w:after="120"/>
        <w:jc w:val="both"/>
        <w:rPr>
          <w:bCs/>
          <w:color w:val="000000"/>
          <w:lang w:eastAsia="pt-BR"/>
        </w:rPr>
      </w:pPr>
    </w:p>
    <w:p w14:paraId="41076432" w14:textId="77777777" w:rsidR="00CF329B" w:rsidRDefault="00CF329B" w:rsidP="00715389">
      <w:pPr>
        <w:autoSpaceDE w:val="0"/>
        <w:autoSpaceDN w:val="0"/>
        <w:spacing w:before="120" w:after="120"/>
        <w:jc w:val="center"/>
        <w:rPr>
          <w:b/>
          <w:bCs/>
          <w:color w:val="000000"/>
          <w:lang w:eastAsia="pt-BR"/>
        </w:rPr>
      </w:pPr>
      <w:r>
        <w:rPr>
          <w:b/>
          <w:bCs/>
          <w:noProof/>
          <w:color w:val="000000"/>
          <w:lang w:eastAsia="pt-BR"/>
        </w:rPr>
        <w:drawing>
          <wp:inline distT="0" distB="0" distL="0" distR="0" wp14:anchorId="136A4177" wp14:editId="6E5E1E49">
            <wp:extent cx="5846143" cy="3590925"/>
            <wp:effectExtent l="0" t="0" r="254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002" cy="3604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BAFE6" w14:textId="77777777" w:rsidR="005B1B0E" w:rsidRPr="005B1B0E" w:rsidRDefault="005539DA" w:rsidP="005B1B0E">
      <w:pPr>
        <w:autoSpaceDE w:val="0"/>
        <w:autoSpaceDN w:val="0"/>
        <w:spacing w:before="120" w:after="120"/>
        <w:jc w:val="both"/>
        <w:rPr>
          <w:bCs/>
          <w:color w:val="000000"/>
          <w:lang w:eastAsia="pt-BR"/>
        </w:rPr>
      </w:pPr>
      <w:r>
        <w:rPr>
          <w:bCs/>
          <w:color w:val="000000"/>
          <w:lang w:eastAsia="pt-BR"/>
        </w:rPr>
        <w:t>Parte das medidas de transparência ativa adotadas pela Companhia,</w:t>
      </w:r>
      <w:r w:rsidRPr="005B1B0E">
        <w:rPr>
          <w:bCs/>
          <w:color w:val="000000"/>
          <w:lang w:eastAsia="pt-BR"/>
        </w:rPr>
        <w:t xml:space="preserve"> co</w:t>
      </w:r>
      <w:r>
        <w:rPr>
          <w:bCs/>
          <w:color w:val="000000"/>
          <w:lang w:eastAsia="pt-BR"/>
        </w:rPr>
        <w:t>nforme</w:t>
      </w:r>
      <w:r w:rsidRPr="005B1B0E">
        <w:rPr>
          <w:bCs/>
          <w:color w:val="000000"/>
          <w:lang w:eastAsia="pt-BR"/>
        </w:rPr>
        <w:t xml:space="preserve"> </w:t>
      </w:r>
      <w:r w:rsidR="005B1B0E" w:rsidRPr="005B1B0E">
        <w:rPr>
          <w:bCs/>
          <w:color w:val="000000"/>
          <w:lang w:eastAsia="pt-BR"/>
        </w:rPr>
        <w:t>mencionado acima</w:t>
      </w:r>
      <w:r w:rsidR="005B1B0E">
        <w:rPr>
          <w:bCs/>
          <w:color w:val="000000"/>
          <w:lang w:eastAsia="pt-BR"/>
        </w:rPr>
        <w:t xml:space="preserve"> (Governança Corporativa)</w:t>
      </w:r>
      <w:r w:rsidR="005B1B0E" w:rsidRPr="005B1B0E">
        <w:rPr>
          <w:bCs/>
          <w:color w:val="000000"/>
          <w:lang w:eastAsia="pt-BR"/>
        </w:rPr>
        <w:t xml:space="preserve">, bem como esclarecido na Política de Divulgação de Atos e Fatos Relevantes da Companhia, </w:t>
      </w:r>
      <w:r w:rsidRPr="005B1B0E">
        <w:rPr>
          <w:bCs/>
          <w:color w:val="000000"/>
          <w:lang w:eastAsia="pt-BR"/>
        </w:rPr>
        <w:t xml:space="preserve">é </w:t>
      </w:r>
      <w:r w:rsidR="005B1B0E" w:rsidRPr="005B1B0E">
        <w:rPr>
          <w:bCs/>
          <w:color w:val="000000"/>
          <w:lang w:eastAsia="pt-BR"/>
        </w:rPr>
        <w:t xml:space="preserve">a </w:t>
      </w:r>
      <w:r w:rsidRPr="005B1B0E">
        <w:rPr>
          <w:bCs/>
          <w:color w:val="000000"/>
          <w:lang w:eastAsia="pt-BR"/>
        </w:rPr>
        <w:t>comunica</w:t>
      </w:r>
      <w:r>
        <w:rPr>
          <w:bCs/>
          <w:color w:val="000000"/>
          <w:lang w:eastAsia="pt-BR"/>
        </w:rPr>
        <w:t>ção de</w:t>
      </w:r>
      <w:r w:rsidRPr="005B1B0E">
        <w:rPr>
          <w:bCs/>
          <w:color w:val="000000"/>
          <w:lang w:eastAsia="pt-BR"/>
        </w:rPr>
        <w:t xml:space="preserve"> </w:t>
      </w:r>
      <w:r w:rsidR="005B1B0E" w:rsidRPr="005B1B0E">
        <w:rPr>
          <w:bCs/>
          <w:color w:val="000000"/>
          <w:lang w:eastAsia="pt-BR"/>
        </w:rPr>
        <w:t xml:space="preserve">informação sobre Ato ou Fato Relevante </w:t>
      </w:r>
      <w:r>
        <w:rPr>
          <w:bCs/>
          <w:color w:val="000000"/>
          <w:lang w:eastAsia="pt-BR"/>
        </w:rPr>
        <w:t xml:space="preserve">de forma </w:t>
      </w:r>
      <w:proofErr w:type="spellStart"/>
      <w:r w:rsidR="005B1B0E" w:rsidRPr="005B1B0E">
        <w:rPr>
          <w:bCs/>
          <w:color w:val="000000"/>
          <w:lang w:eastAsia="pt-BR"/>
        </w:rPr>
        <w:t>simultanea</w:t>
      </w:r>
      <w:proofErr w:type="spellEnd"/>
      <w:r w:rsidR="005B1B0E" w:rsidRPr="005B1B0E">
        <w:rPr>
          <w:bCs/>
          <w:color w:val="000000"/>
          <w:lang w:eastAsia="pt-BR"/>
        </w:rPr>
        <w:t xml:space="preserve"> aos mercados e</w:t>
      </w:r>
      <w:r w:rsidR="005B1B0E">
        <w:rPr>
          <w:bCs/>
          <w:color w:val="000000"/>
          <w:lang w:eastAsia="pt-BR"/>
        </w:rPr>
        <w:t xml:space="preserve"> órgãos reguladores que controla</w:t>
      </w:r>
      <w:r w:rsidR="005B1B0E" w:rsidRPr="005B1B0E">
        <w:rPr>
          <w:bCs/>
          <w:color w:val="000000"/>
          <w:lang w:eastAsia="pt-BR"/>
        </w:rPr>
        <w:t>m o Valor Mobiliário afetado pelo fato relevante.</w:t>
      </w:r>
    </w:p>
    <w:p w14:paraId="16B7ED50" w14:textId="77777777" w:rsidR="005B1B0E" w:rsidRPr="005B1B0E" w:rsidRDefault="005B1B0E" w:rsidP="005B1B0E">
      <w:pPr>
        <w:autoSpaceDE w:val="0"/>
        <w:autoSpaceDN w:val="0"/>
        <w:spacing w:before="120" w:after="120"/>
        <w:rPr>
          <w:bCs/>
          <w:color w:val="000000"/>
          <w:lang w:eastAsia="pt-BR"/>
        </w:rPr>
      </w:pPr>
      <w:r w:rsidRPr="005B1B0E">
        <w:rPr>
          <w:bCs/>
          <w:color w:val="000000"/>
          <w:lang w:eastAsia="pt-BR"/>
        </w:rPr>
        <w:t>São utilizados os seguintes canais de comunicação para divulgação de ato ou fato relevante: (i) Diário Oficial do Município de São Paulo; (</w:t>
      </w:r>
      <w:proofErr w:type="spellStart"/>
      <w:r w:rsidRPr="005B1B0E">
        <w:rPr>
          <w:bCs/>
          <w:color w:val="000000"/>
          <w:lang w:eastAsia="pt-BR"/>
        </w:rPr>
        <w:t>ii</w:t>
      </w:r>
      <w:proofErr w:type="spellEnd"/>
      <w:r w:rsidRPr="005B1B0E">
        <w:rPr>
          <w:bCs/>
          <w:color w:val="000000"/>
          <w:lang w:eastAsia="pt-BR"/>
        </w:rPr>
        <w:t>) Jornal de grande circulação (Jornal Diário Comercial); (</w:t>
      </w:r>
      <w:proofErr w:type="spellStart"/>
      <w:r w:rsidRPr="005B1B0E">
        <w:rPr>
          <w:bCs/>
          <w:color w:val="000000"/>
          <w:lang w:eastAsia="pt-BR"/>
        </w:rPr>
        <w:t>iii</w:t>
      </w:r>
      <w:proofErr w:type="spellEnd"/>
      <w:r w:rsidRPr="005B1B0E">
        <w:rPr>
          <w:bCs/>
          <w:color w:val="000000"/>
          <w:lang w:eastAsia="pt-BR"/>
        </w:rPr>
        <w:t xml:space="preserve">) </w:t>
      </w:r>
      <w:r w:rsidR="002E11F1">
        <w:rPr>
          <w:bCs/>
          <w:color w:val="000000"/>
          <w:lang w:eastAsia="pt-BR"/>
        </w:rPr>
        <w:t xml:space="preserve">a página </w:t>
      </w:r>
      <w:r w:rsidRPr="005B1B0E">
        <w:rPr>
          <w:bCs/>
          <w:color w:val="000000"/>
          <w:lang w:eastAsia="pt-BR"/>
        </w:rPr>
        <w:t>da Companhia</w:t>
      </w:r>
      <w:r w:rsidR="002E11F1">
        <w:rPr>
          <w:bCs/>
          <w:color w:val="000000"/>
          <w:lang w:eastAsia="pt-BR"/>
        </w:rPr>
        <w:t xml:space="preserve"> na rede mundial de computadores</w:t>
      </w:r>
      <w:r w:rsidRPr="005B1B0E">
        <w:rPr>
          <w:bCs/>
          <w:color w:val="000000"/>
          <w:lang w:eastAsia="pt-BR"/>
        </w:rPr>
        <w:t>.</w:t>
      </w:r>
    </w:p>
    <w:p w14:paraId="2917D8FA" w14:textId="77777777" w:rsidR="005B1B0E" w:rsidRPr="005B1B0E" w:rsidRDefault="005B1B0E" w:rsidP="005B1B0E">
      <w:pPr>
        <w:autoSpaceDE w:val="0"/>
        <w:autoSpaceDN w:val="0"/>
        <w:spacing w:before="120" w:after="120"/>
        <w:jc w:val="both"/>
        <w:rPr>
          <w:bCs/>
          <w:color w:val="000000"/>
          <w:lang w:eastAsia="pt-BR"/>
        </w:rPr>
      </w:pPr>
      <w:r w:rsidRPr="005B1B0E">
        <w:rPr>
          <w:bCs/>
          <w:color w:val="000000"/>
          <w:lang w:eastAsia="pt-BR"/>
        </w:rPr>
        <w:lastRenderedPageBreak/>
        <w:t>A</w:t>
      </w:r>
      <w:r w:rsidR="005539DA">
        <w:rPr>
          <w:bCs/>
          <w:color w:val="000000"/>
          <w:lang w:eastAsia="pt-BR"/>
        </w:rPr>
        <w:t>dicionalmente, a</w:t>
      </w:r>
      <w:r w:rsidRPr="005B1B0E">
        <w:rPr>
          <w:bCs/>
          <w:color w:val="000000"/>
          <w:lang w:eastAsia="pt-BR"/>
        </w:rPr>
        <w:t xml:space="preserve">s demais informações </w:t>
      </w:r>
      <w:r w:rsidR="002E11F1" w:rsidRPr="005B1B0E">
        <w:rPr>
          <w:bCs/>
          <w:color w:val="000000"/>
          <w:lang w:eastAsia="pt-BR"/>
        </w:rPr>
        <w:t xml:space="preserve">de interesse público </w:t>
      </w:r>
      <w:r w:rsidRPr="005B1B0E">
        <w:rPr>
          <w:bCs/>
          <w:color w:val="000000"/>
          <w:lang w:eastAsia="pt-BR"/>
        </w:rPr>
        <w:t>da Companhia, conforme prescrito na legislação vigente, notadamente as Leis nº 6.404, de 1976 e nº 13.303, de 2016, além do Decreto Municipal nº 58.093, de 2018</w:t>
      </w:r>
      <w:r>
        <w:rPr>
          <w:bCs/>
          <w:color w:val="000000"/>
          <w:lang w:eastAsia="pt-BR"/>
        </w:rPr>
        <w:t>,</w:t>
      </w:r>
      <w:r w:rsidRPr="005B1B0E">
        <w:rPr>
          <w:bCs/>
          <w:color w:val="000000"/>
          <w:lang w:eastAsia="pt-BR"/>
        </w:rPr>
        <w:t xml:space="preserve"> são divulgadas </w:t>
      </w:r>
      <w:r w:rsidR="002E11F1">
        <w:rPr>
          <w:bCs/>
          <w:color w:val="000000"/>
          <w:lang w:eastAsia="pt-BR"/>
        </w:rPr>
        <w:t xml:space="preserve">na página </w:t>
      </w:r>
      <w:r w:rsidRPr="005B1B0E">
        <w:rPr>
          <w:bCs/>
          <w:color w:val="000000"/>
          <w:lang w:eastAsia="pt-BR"/>
        </w:rPr>
        <w:t xml:space="preserve">da Companhia </w:t>
      </w:r>
      <w:r w:rsidR="002E11F1">
        <w:rPr>
          <w:bCs/>
          <w:color w:val="000000"/>
          <w:lang w:eastAsia="pt-BR"/>
        </w:rPr>
        <w:t>na rede mundial de computadores</w:t>
      </w:r>
      <w:r w:rsidR="002E11F1" w:rsidRPr="005B1B0E">
        <w:rPr>
          <w:bCs/>
          <w:color w:val="000000"/>
          <w:lang w:eastAsia="pt-BR"/>
        </w:rPr>
        <w:t xml:space="preserve"> </w:t>
      </w:r>
      <w:r w:rsidRPr="005B1B0E">
        <w:rPr>
          <w:bCs/>
          <w:color w:val="000000"/>
          <w:lang w:eastAsia="pt-BR"/>
        </w:rPr>
        <w:t>e no Portal da Transparência, exceto aquelas que, por força de lei específica, dev</w:t>
      </w:r>
      <w:r>
        <w:rPr>
          <w:bCs/>
          <w:color w:val="000000"/>
          <w:lang w:eastAsia="pt-BR"/>
        </w:rPr>
        <w:t>a</w:t>
      </w:r>
      <w:r w:rsidRPr="005B1B0E">
        <w:rPr>
          <w:bCs/>
          <w:color w:val="000000"/>
          <w:lang w:eastAsia="pt-BR"/>
        </w:rPr>
        <w:t>m ser divulgadas ainda em outros meios de comunicação.</w:t>
      </w:r>
      <w:r w:rsidR="005539DA">
        <w:rPr>
          <w:bCs/>
          <w:color w:val="000000"/>
          <w:lang w:eastAsia="pt-BR"/>
        </w:rPr>
        <w:t xml:space="preserve"> </w:t>
      </w:r>
    </w:p>
    <w:p w14:paraId="12EBAA2B" w14:textId="77777777" w:rsidR="00CF329B" w:rsidRDefault="00CF329B" w:rsidP="00715389">
      <w:pPr>
        <w:autoSpaceDE w:val="0"/>
        <w:autoSpaceDN w:val="0"/>
        <w:spacing w:before="120" w:after="120"/>
        <w:jc w:val="both"/>
        <w:rPr>
          <w:bCs/>
          <w:color w:val="000000"/>
          <w:lang w:eastAsia="pt-BR"/>
        </w:rPr>
      </w:pPr>
      <w:r>
        <w:rPr>
          <w:bCs/>
          <w:color w:val="000000"/>
          <w:lang w:eastAsia="pt-BR"/>
        </w:rPr>
        <w:t>A Companhia também adota mecanismos específicos para garantir o interesse de seus acionistas e o interesse público em suas transações entre partes relacionadas. O quadro abaixo resume os procedimentos que são adotados para a aprovação de negócios dess</w:t>
      </w:r>
      <w:r w:rsidR="004323B8">
        <w:rPr>
          <w:bCs/>
          <w:color w:val="000000"/>
          <w:lang w:eastAsia="pt-BR"/>
        </w:rPr>
        <w:t>a</w:t>
      </w:r>
      <w:r>
        <w:rPr>
          <w:bCs/>
          <w:color w:val="000000"/>
          <w:lang w:eastAsia="pt-BR"/>
        </w:rPr>
        <w:t xml:space="preserve"> </w:t>
      </w:r>
      <w:r w:rsidR="004323B8">
        <w:rPr>
          <w:bCs/>
          <w:color w:val="000000"/>
          <w:lang w:eastAsia="pt-BR"/>
        </w:rPr>
        <w:t>natureza</w:t>
      </w:r>
      <w:r>
        <w:rPr>
          <w:bCs/>
          <w:color w:val="000000"/>
          <w:lang w:eastAsia="pt-BR"/>
        </w:rPr>
        <w:t>:</w:t>
      </w:r>
    </w:p>
    <w:p w14:paraId="75EBE1B3" w14:textId="77777777" w:rsidR="00CF329B" w:rsidRDefault="00AD5989" w:rsidP="00715389">
      <w:pPr>
        <w:autoSpaceDE w:val="0"/>
        <w:autoSpaceDN w:val="0"/>
        <w:spacing w:before="120" w:after="120"/>
        <w:jc w:val="center"/>
        <w:rPr>
          <w:bCs/>
          <w:color w:val="000000"/>
          <w:lang w:eastAsia="pt-BR"/>
        </w:rPr>
      </w:pPr>
      <w:r>
        <w:rPr>
          <w:bCs/>
          <w:noProof/>
          <w:color w:val="000000"/>
          <w:lang w:eastAsia="pt-BR"/>
        </w:rPr>
        <w:drawing>
          <wp:inline distT="0" distB="0" distL="0" distR="0" wp14:anchorId="2BBCCF3B" wp14:editId="0566D5E4">
            <wp:extent cx="5422790" cy="3273053"/>
            <wp:effectExtent l="0" t="0" r="6985" b="381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236" cy="3283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E8510" w14:textId="77777777" w:rsidR="000715D3" w:rsidRDefault="00E66B77" w:rsidP="00715389">
      <w:pPr>
        <w:keepNext/>
        <w:keepLines/>
        <w:autoSpaceDE w:val="0"/>
        <w:autoSpaceDN w:val="0"/>
        <w:spacing w:before="120" w:after="120"/>
        <w:jc w:val="both"/>
        <w:rPr>
          <w:color w:val="000000"/>
          <w:lang w:eastAsia="pt-BR"/>
        </w:rPr>
      </w:pPr>
      <w:r>
        <w:rPr>
          <w:b/>
          <w:bCs/>
          <w:color w:val="000000"/>
          <w:lang w:eastAsia="pt-BR"/>
        </w:rPr>
        <w:t>I</w:t>
      </w:r>
      <w:r w:rsidR="00F5577A">
        <w:rPr>
          <w:b/>
          <w:bCs/>
          <w:color w:val="000000"/>
          <w:lang w:eastAsia="pt-BR"/>
        </w:rPr>
        <w:t>V</w:t>
      </w:r>
      <w:r w:rsidR="005833D4">
        <w:rPr>
          <w:b/>
          <w:bCs/>
          <w:color w:val="000000"/>
          <w:lang w:eastAsia="pt-BR"/>
        </w:rPr>
        <w:t xml:space="preserve"> -</w:t>
      </w:r>
      <w:r w:rsidR="000715D3">
        <w:rPr>
          <w:b/>
          <w:bCs/>
          <w:color w:val="000000"/>
          <w:lang w:eastAsia="pt-BR"/>
        </w:rPr>
        <w:t xml:space="preserve"> </w:t>
      </w:r>
      <w:r w:rsidR="00F5577A">
        <w:rPr>
          <w:b/>
          <w:bCs/>
          <w:color w:val="000000"/>
          <w:lang w:eastAsia="pt-BR"/>
        </w:rPr>
        <w:t xml:space="preserve">RESPONSABILIDADE SOCIAL </w:t>
      </w:r>
    </w:p>
    <w:p w14:paraId="7A83AC86" w14:textId="77777777" w:rsidR="003912A2" w:rsidRDefault="003912A2" w:rsidP="00715389">
      <w:pPr>
        <w:keepNext/>
        <w:keepLines/>
        <w:spacing w:before="120" w:after="120"/>
        <w:jc w:val="both"/>
      </w:pPr>
      <w:r>
        <w:t xml:space="preserve">A SPDA foi criada com o propósito de desenvolver estruturas eficientes para a mobilização de ativos </w:t>
      </w:r>
      <w:r w:rsidR="00464E0D">
        <w:t xml:space="preserve">municipais </w:t>
      </w:r>
      <w:r>
        <w:t xml:space="preserve">e contribuir, desse modo, para o atendimento de projetos prioritários da cidade. </w:t>
      </w:r>
      <w:r w:rsidR="00E66B77">
        <w:t xml:space="preserve">Por ser </w:t>
      </w:r>
      <w:r>
        <w:t xml:space="preserve">controlada pelo Município de São Paulo, preza pela realização de um trabalho minucioso, tecnicamente orientado e alinhado às expectativas do mercado, de modo a </w:t>
      </w:r>
      <w:r w:rsidR="00E66B77">
        <w:t>assegurar, nas operações levadas a cabo por seu controlador, retornos financeiros satisfatórios, alinhados ao interesse social da cidade</w:t>
      </w:r>
      <w:r>
        <w:t>.</w:t>
      </w:r>
    </w:p>
    <w:p w14:paraId="287E784F" w14:textId="77777777" w:rsidR="00F96084" w:rsidRDefault="00F96084" w:rsidP="005A4448">
      <w:pPr>
        <w:widowControl w:val="0"/>
        <w:spacing w:before="120" w:after="120"/>
        <w:jc w:val="both"/>
      </w:pPr>
      <w:r>
        <w:t xml:space="preserve">A Companhia procura assim, nos projetos que desenvolve, assegurar um tratamento socialmente responsável a todos os </w:t>
      </w:r>
      <w:r w:rsidR="006409E8">
        <w:t>afetados</w:t>
      </w:r>
      <w:r>
        <w:t xml:space="preserve">. Não por outra razão, </w:t>
      </w:r>
      <w:r w:rsidR="00616EBB">
        <w:t>estruturou</w:t>
      </w:r>
      <w:r>
        <w:t>, para o SPDA Habitação Fundo de Investimentos em Direitos Creditórios Não Padronizados</w:t>
      </w:r>
      <w:r w:rsidR="000E148B">
        <w:rPr>
          <w:rStyle w:val="Refdenotaderodap"/>
        </w:rPr>
        <w:footnoteReference w:id="1"/>
      </w:r>
      <w:r>
        <w:t xml:space="preserve">, do qual é </w:t>
      </w:r>
      <w:r w:rsidR="000371F1">
        <w:t>c</w:t>
      </w:r>
      <w:r>
        <w:t>otista</w:t>
      </w:r>
      <w:r w:rsidR="000371F1">
        <w:t xml:space="preserve"> </w:t>
      </w:r>
      <w:proofErr w:type="spellStart"/>
      <w:r w:rsidR="000371F1">
        <w:t>exlcusivo</w:t>
      </w:r>
      <w:proofErr w:type="spellEnd"/>
      <w:r>
        <w:t xml:space="preserve">, regulamento </w:t>
      </w:r>
      <w:r w:rsidR="000E148B">
        <w:lastRenderedPageBreak/>
        <w:t xml:space="preserve">com regras de governança </w:t>
      </w:r>
      <w:r w:rsidR="000C041D">
        <w:t>prevendo</w:t>
      </w:r>
      <w:r w:rsidR="006409E8">
        <w:t xml:space="preserve"> que</w:t>
      </w:r>
      <w:r w:rsidR="000E148B">
        <w:t xml:space="preserve"> deliberações sensíveis à política de cobrança em empreendimentos de habitação popular </w:t>
      </w:r>
      <w:r w:rsidR="006409E8">
        <w:t>sejam</w:t>
      </w:r>
      <w:r w:rsidR="000E148B">
        <w:t xml:space="preserve"> levadas a</w:t>
      </w:r>
      <w:r w:rsidR="00533F22">
        <w:t>o seu Comitê de Gestão</w:t>
      </w:r>
      <w:r w:rsidR="000E148B">
        <w:t xml:space="preserve"> </w:t>
      </w:r>
      <w:r w:rsidR="00533F22">
        <w:t xml:space="preserve">– </w:t>
      </w:r>
      <w:r w:rsidR="000E148B">
        <w:t xml:space="preserve">um </w:t>
      </w:r>
      <w:r w:rsidR="00533F22">
        <w:t xml:space="preserve">colegiado </w:t>
      </w:r>
      <w:r w:rsidR="000E148B">
        <w:t>composto por representantes de diversas secretarias.</w:t>
      </w:r>
    </w:p>
    <w:p w14:paraId="16DA2A45" w14:textId="77777777" w:rsidR="003912A2" w:rsidRDefault="003912A2" w:rsidP="005A4448">
      <w:pPr>
        <w:widowControl w:val="0"/>
        <w:spacing w:before="120" w:after="120"/>
        <w:jc w:val="both"/>
      </w:pPr>
      <w:r>
        <w:t xml:space="preserve">As relações com seus acionistas </w:t>
      </w:r>
      <w:r w:rsidR="00442A17">
        <w:t>materializam-se</w:t>
      </w:r>
      <w:r>
        <w:t xml:space="preserve"> em reportes periódicos</w:t>
      </w:r>
      <w:r w:rsidR="00442A17">
        <w:t>, especialmente</w:t>
      </w:r>
      <w:r>
        <w:t xml:space="preserve"> à Secretaria da Fazenda do Município de São Paulo</w:t>
      </w:r>
      <w:r w:rsidR="00442A17">
        <w:t>, que representa</w:t>
      </w:r>
      <w:r w:rsidR="00464E0D">
        <w:t xml:space="preserve"> a figura do acionista controlador. Cumprindo seu propósito social, a Companhia contribui para atender as expectativas dos munícipes, na medida em que assegura recursos para projetos prioritários, bem como viabiliza </w:t>
      </w:r>
      <w:r w:rsidR="007C7EDD">
        <w:t xml:space="preserve">a </w:t>
      </w:r>
      <w:r w:rsidR="003C2A3D">
        <w:t>prestação de serviços públicos, por meio das garantias em Parcerias Público Privadas.</w:t>
      </w:r>
    </w:p>
    <w:p w14:paraId="4A945C0D" w14:textId="77777777" w:rsidR="003C2A3D" w:rsidRDefault="007C7EDD" w:rsidP="00715389">
      <w:pPr>
        <w:spacing w:before="120" w:after="120"/>
        <w:jc w:val="both"/>
      </w:pPr>
      <w:r>
        <w:t xml:space="preserve">Internamente, </w:t>
      </w:r>
      <w:r w:rsidR="00AC6434">
        <w:t>a SPDA envida esforços na promoção de um ambiente saudável, empreendedor</w:t>
      </w:r>
      <w:r w:rsidR="00D06018">
        <w:t>, motivador</w:t>
      </w:r>
      <w:r w:rsidR="00AC6434">
        <w:t xml:space="preserve"> e colaborativo</w:t>
      </w:r>
      <w:r w:rsidR="00D06018">
        <w:t xml:space="preserve">, assumindo esses pontos como valores da Companhia em relação a seus colaboradores. </w:t>
      </w:r>
      <w:r w:rsidR="005D269E">
        <w:t>Para esses fins, a Companhia monitora e informa não apenas a remuneração pessoal, mas também o cumprimento de programas de segurança e saúde no trabalho, de análise de desempenho e de queixas na seara trabalhista, entre outros, conforme a legislação pertinente.</w:t>
      </w:r>
    </w:p>
    <w:p w14:paraId="389C4766" w14:textId="77777777" w:rsidR="006233E1" w:rsidRDefault="006233E1" w:rsidP="00715389">
      <w:pPr>
        <w:spacing w:before="120" w:after="120"/>
        <w:jc w:val="both"/>
      </w:pPr>
      <w:r>
        <w:t xml:space="preserve">A relação da Companhia com fornecedores é realizada sob o amparo das leis que regulamentam as contratações públicas: Lei nº 8.666, de 1993; Lei nº 13.303, de 2016; Leis Municipais pertinentes, bem como por seu Regulamento Interno de Licitações e Contratos. A SPDA guia-se pelos </w:t>
      </w:r>
      <w:r w:rsidRPr="006233E1">
        <w:t>princípios da legalidade, da impessoalidade, da moralidade, da publicidade, da igualdade, da economicidade e da eficiência administrativa, bem como da vinculação ao instrumento convocatório, do julgamento objetivo e dos que lhes são correlatos.</w:t>
      </w:r>
    </w:p>
    <w:p w14:paraId="5E6BE460" w14:textId="77777777" w:rsidR="000715D3" w:rsidRDefault="00FE02C2" w:rsidP="00715389">
      <w:pPr>
        <w:keepNext/>
        <w:keepLines/>
        <w:autoSpaceDE w:val="0"/>
        <w:autoSpaceDN w:val="0"/>
        <w:spacing w:before="120" w:after="120"/>
        <w:jc w:val="both"/>
        <w:rPr>
          <w:color w:val="000000"/>
          <w:lang w:eastAsia="pt-BR"/>
        </w:rPr>
      </w:pPr>
      <w:r w:rsidRPr="00715389">
        <w:rPr>
          <w:b/>
        </w:rPr>
        <w:t xml:space="preserve">V </w:t>
      </w:r>
      <w:r w:rsidRPr="00FE02C2">
        <w:rPr>
          <w:b/>
          <w:bCs/>
          <w:color w:val="000000"/>
          <w:lang w:eastAsia="pt-BR"/>
        </w:rPr>
        <w:t>-</w:t>
      </w:r>
      <w:r>
        <w:rPr>
          <w:b/>
          <w:bCs/>
          <w:color w:val="000000"/>
          <w:lang w:eastAsia="pt-BR"/>
        </w:rPr>
        <w:t xml:space="preserve"> DESENVOLVIMENTO AMBIENTALMENTE SUSTENTÁVEL </w:t>
      </w:r>
    </w:p>
    <w:p w14:paraId="6C252C49" w14:textId="77777777" w:rsidR="000715D3" w:rsidRDefault="003C5747" w:rsidP="00715389">
      <w:pPr>
        <w:keepNext/>
        <w:keepLines/>
        <w:spacing w:before="120" w:after="120"/>
        <w:jc w:val="both"/>
      </w:pPr>
      <w:r>
        <w:t xml:space="preserve">A Companhia </w:t>
      </w:r>
      <w:r w:rsidR="000715D3" w:rsidRPr="001F55C7">
        <w:t xml:space="preserve">busca </w:t>
      </w:r>
      <w:r w:rsidR="00B87A78">
        <w:t>desenvolver</w:t>
      </w:r>
      <w:r w:rsidR="00A336F9">
        <w:t xml:space="preserve"> suas atividades de modo </w:t>
      </w:r>
      <w:r w:rsidR="000715D3" w:rsidRPr="001F55C7">
        <w:t>ambientalmente sustentável, processo que compreende a diminuição dos principais impactos ecológicos – diretos e indiretos – que a sua operação causa, seja pelo consumo de água, energia, geração de resíduos ou emissão de gases estufa.</w:t>
      </w:r>
    </w:p>
    <w:p w14:paraId="6920DE8F" w14:textId="77777777" w:rsidR="00E90337" w:rsidRDefault="00A336F9" w:rsidP="00715389">
      <w:pPr>
        <w:spacing w:before="120" w:after="120"/>
        <w:jc w:val="both"/>
      </w:pPr>
      <w:r>
        <w:t>A SPDA incentiva a utilização de transportes não poluentes</w:t>
      </w:r>
      <w:r w:rsidR="00B87A78">
        <w:t xml:space="preserve"> –aten</w:t>
      </w:r>
      <w:r w:rsidR="00B9019F">
        <w:t>tan</w:t>
      </w:r>
      <w:r w:rsidR="00B87A78">
        <w:t>do-se a espaços de trabalho com bicicletários</w:t>
      </w:r>
      <w:r>
        <w:t xml:space="preserve">, </w:t>
      </w:r>
      <w:r w:rsidR="00B87A78">
        <w:t>bem como o</w:t>
      </w:r>
      <w:r>
        <w:t xml:space="preserve"> compartilhamento de veículos. Aderiu à ata de registro de preços para uso de aplicativos de corrida, a fim de atender a demanda externa dos colaboradores e diretores da Companhia, poupando gastos com motoristas exclusivos.</w:t>
      </w:r>
    </w:p>
    <w:p w14:paraId="2D06FF79" w14:textId="77777777" w:rsidR="00E66B77" w:rsidRDefault="00E66B77" w:rsidP="00E66B77">
      <w:pPr>
        <w:keepNext/>
        <w:keepLines/>
        <w:autoSpaceDE w:val="0"/>
        <w:autoSpaceDN w:val="0"/>
        <w:spacing w:before="120" w:after="120"/>
        <w:jc w:val="both"/>
        <w:rPr>
          <w:b/>
          <w:bCs/>
          <w:color w:val="000000"/>
          <w:lang w:eastAsia="pt-BR"/>
        </w:rPr>
      </w:pPr>
      <w:r>
        <w:rPr>
          <w:b/>
          <w:bCs/>
          <w:color w:val="000000"/>
          <w:lang w:eastAsia="pt-BR"/>
        </w:rPr>
        <w:t>V</w:t>
      </w:r>
      <w:r w:rsidR="00E150D4">
        <w:rPr>
          <w:b/>
          <w:bCs/>
          <w:color w:val="000000"/>
          <w:lang w:eastAsia="pt-BR"/>
        </w:rPr>
        <w:t>I</w:t>
      </w:r>
      <w:r>
        <w:rPr>
          <w:b/>
          <w:bCs/>
          <w:color w:val="000000"/>
          <w:lang w:eastAsia="pt-BR"/>
        </w:rPr>
        <w:t xml:space="preserve"> – MODELO DE NEGÓCIO</w:t>
      </w:r>
    </w:p>
    <w:p w14:paraId="0083918A" w14:textId="77777777" w:rsidR="00E66B77" w:rsidRPr="002D218B" w:rsidRDefault="00E66B77" w:rsidP="00E66B77">
      <w:pPr>
        <w:keepNext/>
        <w:keepLines/>
        <w:autoSpaceDE w:val="0"/>
        <w:autoSpaceDN w:val="0"/>
        <w:spacing w:before="120" w:after="120"/>
        <w:jc w:val="both"/>
        <w:rPr>
          <w:bCs/>
          <w:color w:val="000000"/>
          <w:lang w:eastAsia="pt-BR"/>
        </w:rPr>
      </w:pPr>
      <w:r w:rsidRPr="002D218B">
        <w:rPr>
          <w:bCs/>
          <w:color w:val="000000"/>
          <w:lang w:eastAsia="pt-BR"/>
        </w:rPr>
        <w:t xml:space="preserve">A Companhia tem como objeto social auxiliar o Poder Executivo na promoção do desenvolvimento econômico e social da Cidade de São Paulo e na otimização do fluxo de recursos financeiros para o financiamento de projetos prioritários, bem como na administração do pagamento de dívidas do Município, em conformidade </w:t>
      </w:r>
      <w:r>
        <w:rPr>
          <w:bCs/>
          <w:color w:val="000000"/>
          <w:lang w:eastAsia="pt-BR"/>
        </w:rPr>
        <w:t>com a</w:t>
      </w:r>
      <w:r w:rsidRPr="002D218B">
        <w:rPr>
          <w:bCs/>
          <w:color w:val="000000"/>
          <w:lang w:eastAsia="pt-BR"/>
        </w:rPr>
        <w:t xml:space="preserve"> Lei nº 14.649, de 20 de dezembro de 2007.</w:t>
      </w:r>
    </w:p>
    <w:p w14:paraId="527300AC" w14:textId="77777777" w:rsidR="00E66B77" w:rsidRDefault="00E66B77" w:rsidP="00E66B77">
      <w:pPr>
        <w:autoSpaceDE w:val="0"/>
        <w:autoSpaceDN w:val="0"/>
        <w:spacing w:before="120" w:after="120"/>
        <w:jc w:val="both"/>
        <w:rPr>
          <w:bCs/>
          <w:color w:val="000000"/>
          <w:lang w:eastAsia="pt-BR"/>
        </w:rPr>
      </w:pPr>
      <w:r>
        <w:rPr>
          <w:bCs/>
          <w:color w:val="000000"/>
          <w:lang w:eastAsia="pt-BR"/>
        </w:rPr>
        <w:t>Nesse sentido, p</w:t>
      </w:r>
      <w:r w:rsidRPr="002D218B">
        <w:rPr>
          <w:bCs/>
          <w:color w:val="000000"/>
          <w:lang w:eastAsia="pt-BR"/>
        </w:rPr>
        <w:t xml:space="preserve">ara a consecução do seu objeto social, a </w:t>
      </w:r>
      <w:r>
        <w:rPr>
          <w:bCs/>
          <w:color w:val="000000"/>
          <w:lang w:eastAsia="pt-BR"/>
        </w:rPr>
        <w:t>SPDA</w:t>
      </w:r>
      <w:r w:rsidRPr="002D218B">
        <w:rPr>
          <w:bCs/>
          <w:color w:val="000000"/>
          <w:lang w:eastAsia="pt-BR"/>
        </w:rPr>
        <w:t xml:space="preserve"> poderá</w:t>
      </w:r>
      <w:r>
        <w:rPr>
          <w:bCs/>
          <w:color w:val="000000"/>
          <w:lang w:eastAsia="pt-BR"/>
        </w:rPr>
        <w:t xml:space="preserve"> (i)</w:t>
      </w:r>
      <w:r w:rsidRPr="002D218B">
        <w:rPr>
          <w:bCs/>
          <w:color w:val="000000"/>
          <w:lang w:eastAsia="pt-BR"/>
        </w:rPr>
        <w:t xml:space="preserve"> firmar convênios ou contratos com órgãos e entidades da administração pública da União, do Estado e do Município de São Paulo para que realizem investimentos prioritários no Município de São Paulo, em especial nas áreas de saúde, educação, transportes e segurança;</w:t>
      </w:r>
      <w:r>
        <w:rPr>
          <w:bCs/>
          <w:color w:val="000000"/>
          <w:lang w:eastAsia="pt-BR"/>
        </w:rPr>
        <w:t xml:space="preserve"> (</w:t>
      </w:r>
      <w:proofErr w:type="spellStart"/>
      <w:r>
        <w:rPr>
          <w:bCs/>
          <w:color w:val="000000"/>
          <w:lang w:eastAsia="pt-BR"/>
        </w:rPr>
        <w:t>ii</w:t>
      </w:r>
      <w:proofErr w:type="spellEnd"/>
      <w:r>
        <w:rPr>
          <w:bCs/>
          <w:color w:val="000000"/>
          <w:lang w:eastAsia="pt-BR"/>
        </w:rPr>
        <w:t>)</w:t>
      </w:r>
      <w:r w:rsidRPr="002D218B">
        <w:rPr>
          <w:bCs/>
          <w:color w:val="000000"/>
          <w:lang w:eastAsia="pt-BR"/>
        </w:rPr>
        <w:t xml:space="preserve"> emitir e distribuir publicamente quaisquer títulos e/ou valores mobiliários, observadas as normas emanadas da Comissão de Valores Mobiliários – CVM;</w:t>
      </w:r>
      <w:r>
        <w:rPr>
          <w:bCs/>
          <w:color w:val="000000"/>
          <w:lang w:eastAsia="pt-BR"/>
        </w:rPr>
        <w:t xml:space="preserve"> (</w:t>
      </w:r>
      <w:proofErr w:type="spellStart"/>
      <w:r>
        <w:rPr>
          <w:bCs/>
          <w:color w:val="000000"/>
          <w:lang w:eastAsia="pt-BR"/>
        </w:rPr>
        <w:t>iii</w:t>
      </w:r>
      <w:proofErr w:type="spellEnd"/>
      <w:r>
        <w:rPr>
          <w:bCs/>
          <w:color w:val="000000"/>
          <w:lang w:eastAsia="pt-BR"/>
        </w:rPr>
        <w:t>) </w:t>
      </w:r>
      <w:r w:rsidRPr="002D218B">
        <w:rPr>
          <w:bCs/>
          <w:color w:val="000000"/>
          <w:lang w:eastAsia="pt-BR"/>
        </w:rPr>
        <w:t>contrair empréstimos e financiamentos no mercado nacional ou internacional;</w:t>
      </w:r>
      <w:r>
        <w:rPr>
          <w:bCs/>
          <w:color w:val="000000"/>
          <w:lang w:eastAsia="pt-BR"/>
        </w:rPr>
        <w:t xml:space="preserve"> (</w:t>
      </w:r>
      <w:proofErr w:type="spellStart"/>
      <w:r>
        <w:rPr>
          <w:bCs/>
          <w:color w:val="000000"/>
          <w:lang w:eastAsia="pt-BR"/>
        </w:rPr>
        <w:t>iv</w:t>
      </w:r>
      <w:proofErr w:type="spellEnd"/>
      <w:r>
        <w:rPr>
          <w:bCs/>
          <w:color w:val="000000"/>
          <w:lang w:eastAsia="pt-BR"/>
        </w:rPr>
        <w:t xml:space="preserve">) </w:t>
      </w:r>
      <w:r w:rsidRPr="002D218B">
        <w:rPr>
          <w:bCs/>
          <w:color w:val="000000"/>
          <w:lang w:eastAsia="pt-BR"/>
        </w:rPr>
        <w:lastRenderedPageBreak/>
        <w:t>adquirir, alienar e dar em garantia, inclusive em contratos de parcerias público-privadas, ativos, créditos, títulos e valores mobiliários.</w:t>
      </w:r>
    </w:p>
    <w:p w14:paraId="20EDA067" w14:textId="77777777" w:rsidR="00E66B77" w:rsidRDefault="00E66B77" w:rsidP="00E66B77">
      <w:pPr>
        <w:autoSpaceDE w:val="0"/>
        <w:autoSpaceDN w:val="0"/>
        <w:spacing w:before="120" w:after="120"/>
        <w:jc w:val="both"/>
        <w:rPr>
          <w:bCs/>
          <w:color w:val="000000"/>
          <w:lang w:eastAsia="pt-BR"/>
        </w:rPr>
      </w:pPr>
      <w:r>
        <w:rPr>
          <w:bCs/>
          <w:color w:val="000000"/>
          <w:lang w:eastAsia="pt-BR"/>
        </w:rPr>
        <w:t>Considerando essas premissas, os negócios da Companhia são voltados para a estruturação de operações envolvendo a antecipação de recursos, valorização de ativos existentes, reestruturação do passivo municipal, modelagem de mecanismos de garantias em contratos públicos - inclusive parcerias público-privadas, estudo de soluções de mercado de capitais para mobilização de ativos – acompanhado de análises de viabilidade econômica e impactos jurídicos. Para fazer frente a essas ações, a Companhia concentra-se substancialmente nas seguintes atividades:</w:t>
      </w:r>
    </w:p>
    <w:p w14:paraId="572F4D28" w14:textId="77777777" w:rsidR="00E66B77" w:rsidRDefault="00E66B77" w:rsidP="00E66B77">
      <w:pPr>
        <w:autoSpaceDE w:val="0"/>
        <w:autoSpaceDN w:val="0"/>
        <w:spacing w:before="120" w:after="120"/>
        <w:jc w:val="both"/>
        <w:rPr>
          <w:bCs/>
          <w:color w:val="000000"/>
          <w:lang w:eastAsia="pt-BR"/>
        </w:rPr>
      </w:pPr>
      <w:r>
        <w:rPr>
          <w:bCs/>
          <w:color w:val="000000"/>
          <w:lang w:eastAsia="pt-BR"/>
        </w:rPr>
        <w:t>I – Modelagem: consiste no estudo das alternativas à mobilização dos ativos ou de seu uso para a prestação de garantias, considerando a preparação de relatórios de viabilidade econômica e análise de riscos jurídicos e de mercado.</w:t>
      </w:r>
    </w:p>
    <w:p w14:paraId="4CAFEB25" w14:textId="77777777" w:rsidR="00E66B77" w:rsidRDefault="00E66B77" w:rsidP="00E66B77">
      <w:pPr>
        <w:autoSpaceDE w:val="0"/>
        <w:autoSpaceDN w:val="0"/>
        <w:spacing w:before="120" w:after="120"/>
        <w:jc w:val="both"/>
        <w:rPr>
          <w:bCs/>
          <w:color w:val="000000"/>
          <w:lang w:eastAsia="pt-BR"/>
        </w:rPr>
      </w:pPr>
      <w:r>
        <w:rPr>
          <w:bCs/>
          <w:color w:val="000000"/>
          <w:lang w:eastAsia="pt-BR"/>
        </w:rPr>
        <w:t>II – Estruturação: considerando as alternativas aventadas e a escolha do modelo de desenvolvimento da operação de mobilização de ativos, segue-se a etapa de estruturação, que abarca a preparação do material necessário à sua efetivação – termos de referência, minutas contratuais, relatórios de informações dos ativos e adaptações sistêmicas.</w:t>
      </w:r>
    </w:p>
    <w:p w14:paraId="13DCCEB3" w14:textId="77777777" w:rsidR="00E66B77" w:rsidRDefault="00E66B77" w:rsidP="00E66B77">
      <w:pPr>
        <w:autoSpaceDE w:val="0"/>
        <w:autoSpaceDN w:val="0"/>
        <w:spacing w:before="120" w:after="120"/>
        <w:jc w:val="both"/>
        <w:rPr>
          <w:bCs/>
          <w:color w:val="000000"/>
          <w:lang w:eastAsia="pt-BR"/>
        </w:rPr>
      </w:pPr>
      <w:r>
        <w:rPr>
          <w:bCs/>
          <w:color w:val="000000"/>
          <w:lang w:eastAsia="pt-BR"/>
        </w:rPr>
        <w:t>III – Implementação: compreende a materialização da operação aventada, por meio: da colocação em mercado de valores mobiliários; da efetiva constituição de fundos de investimentos; da assinatura de contratos de garantia; dentre outras atividades – a depender do definido em etapas precedentes.</w:t>
      </w:r>
    </w:p>
    <w:p w14:paraId="18F25DDB" w14:textId="77777777" w:rsidR="00E66B77" w:rsidRPr="00CC1A8C" w:rsidRDefault="00E66B77" w:rsidP="00E66B77">
      <w:pPr>
        <w:autoSpaceDE w:val="0"/>
        <w:autoSpaceDN w:val="0"/>
        <w:spacing w:before="120" w:after="120"/>
        <w:jc w:val="both"/>
        <w:rPr>
          <w:bCs/>
          <w:color w:val="000000"/>
          <w:lang w:eastAsia="pt-BR"/>
        </w:rPr>
      </w:pPr>
      <w:r>
        <w:rPr>
          <w:bCs/>
          <w:color w:val="000000"/>
          <w:lang w:eastAsia="pt-BR"/>
        </w:rPr>
        <w:t>IV – Acompanhamento: nesse estágio a companhia supervisiona o desenvolvimento do projeto: seja por meio da realização das atividades regulares de quotista de fundos de investimento - acompanhando a valorização de seus ativos, ou por meio das ações de controle de eventuais garantias prestadas. Esse acompanhamento dependerá da espécie de projeto implementado.</w:t>
      </w:r>
    </w:p>
    <w:p w14:paraId="25075036" w14:textId="77777777" w:rsidR="00A336F9" w:rsidRDefault="00A336F9" w:rsidP="00715389">
      <w:pPr>
        <w:spacing w:before="120" w:after="120"/>
        <w:jc w:val="both"/>
        <w:rPr>
          <w:b/>
        </w:rPr>
      </w:pPr>
      <w:r w:rsidRPr="00715389">
        <w:rPr>
          <w:b/>
        </w:rPr>
        <w:t>VII – ESTRATÉGIA</w:t>
      </w:r>
    </w:p>
    <w:p w14:paraId="249CDD31" w14:textId="77777777" w:rsidR="00A336F9" w:rsidRDefault="00A336F9" w:rsidP="00715389">
      <w:pPr>
        <w:spacing w:before="120" w:after="120"/>
        <w:jc w:val="both"/>
      </w:pPr>
      <w:r w:rsidRPr="00715389">
        <w:rPr>
          <w:u w:val="single"/>
        </w:rPr>
        <w:t>Visão</w:t>
      </w:r>
      <w:r w:rsidRPr="00715389">
        <w:t>:</w:t>
      </w:r>
      <w:r>
        <w:t xml:space="preserve"> Ser uma empresa referenciada pela excelência na estruturação de operações financeiras que envolvam a emissão e distribuição de valores mobiliários.</w:t>
      </w:r>
    </w:p>
    <w:p w14:paraId="30DE75C5" w14:textId="77777777" w:rsidR="00A336F9" w:rsidRDefault="00A336F9" w:rsidP="00715389">
      <w:pPr>
        <w:spacing w:before="120" w:after="120"/>
        <w:jc w:val="both"/>
      </w:pPr>
      <w:r w:rsidRPr="00715389">
        <w:rPr>
          <w:u w:val="single"/>
        </w:rPr>
        <w:t>Missão</w:t>
      </w:r>
      <w:r>
        <w:t>: Auxiliar a Prefeitura Municipal de São Paulo na articulação e operacionalização de políticas públicas voltadas para o desenvolvimento econômico e social do Município, por meio da captação de recursos financeiros junto ao mercado de capitais</w:t>
      </w:r>
      <w:r w:rsidR="0022540A">
        <w:t xml:space="preserve"> e prestação de garantias em contratos públicos</w:t>
      </w:r>
      <w:r>
        <w:t>.</w:t>
      </w:r>
    </w:p>
    <w:p w14:paraId="6158DFA8" w14:textId="77777777" w:rsidR="00DB2DCB" w:rsidRPr="00DB2DCB" w:rsidRDefault="00DB2DCB" w:rsidP="00715389">
      <w:pPr>
        <w:spacing w:before="120" w:after="120"/>
        <w:jc w:val="both"/>
      </w:pPr>
      <w:r w:rsidRPr="00715389">
        <w:rPr>
          <w:u w:val="single"/>
        </w:rPr>
        <w:t>Objetivos Institucionais</w:t>
      </w:r>
      <w:r w:rsidRPr="00DB2DCB">
        <w:t>: Estão refletidos em seu Compromisso de Desempenho Institucional</w:t>
      </w:r>
      <w:r w:rsidR="00DF2CB9">
        <w:t xml:space="preserve"> (“</w:t>
      </w:r>
      <w:r w:rsidR="00DF2CB9" w:rsidRPr="00715389">
        <w:rPr>
          <w:b/>
        </w:rPr>
        <w:t>CDI</w:t>
      </w:r>
      <w:r w:rsidR="00DF2CB9">
        <w:t>”)</w:t>
      </w:r>
      <w:r w:rsidRPr="00DB2DCB">
        <w:t xml:space="preserve">, divulgado </w:t>
      </w:r>
      <w:r w:rsidR="00DF2CB9">
        <w:t>periodicamente. No momento vigora o CDI relativo ao biênio 2019/2020</w:t>
      </w:r>
      <w:r w:rsidR="00DF2CB9">
        <w:rPr>
          <w:rStyle w:val="Refdenotaderodap"/>
        </w:rPr>
        <w:footnoteReference w:id="2"/>
      </w:r>
      <w:r w:rsidRPr="00DB2DCB">
        <w:t>. Abarcam as seguintes atividades:</w:t>
      </w:r>
    </w:p>
    <w:p w14:paraId="298908BF" w14:textId="77777777" w:rsidR="00DB2DCB" w:rsidRPr="00437A8D" w:rsidRDefault="00DB2DCB" w:rsidP="00715389">
      <w:pPr>
        <w:pStyle w:val="PargrafodaLista"/>
        <w:numPr>
          <w:ilvl w:val="0"/>
          <w:numId w:val="7"/>
        </w:numPr>
        <w:spacing w:before="120" w:after="120"/>
        <w:contextualSpacing w:val="0"/>
      </w:pPr>
      <w:r w:rsidRPr="00715389">
        <w:rPr>
          <w:rFonts w:asciiTheme="minorHAnsi" w:hAnsiTheme="minorHAnsi"/>
          <w:sz w:val="22"/>
          <w:szCs w:val="22"/>
        </w:rPr>
        <w:t>Desenvolvimento de estruturas financeiras para captação de recursos junto ao mercado de capitais brasileiro ou internacional.</w:t>
      </w:r>
    </w:p>
    <w:p w14:paraId="092163A1" w14:textId="77777777" w:rsidR="00DB2DCB" w:rsidRDefault="00DB2DCB" w:rsidP="00715389">
      <w:pPr>
        <w:pStyle w:val="PargrafodaLista"/>
        <w:numPr>
          <w:ilvl w:val="0"/>
          <w:numId w:val="7"/>
        </w:numPr>
        <w:spacing w:before="120" w:after="120"/>
        <w:contextualSpacing w:val="0"/>
      </w:pPr>
      <w:r w:rsidRPr="00715389">
        <w:rPr>
          <w:rFonts w:asciiTheme="minorHAnsi" w:hAnsiTheme="minorHAnsi"/>
          <w:sz w:val="22"/>
          <w:szCs w:val="22"/>
        </w:rPr>
        <w:t>Desenvolvimento de estruturas financeiras para maximizar o valor de ativos financeiros do Município.</w:t>
      </w:r>
    </w:p>
    <w:p w14:paraId="60F7BB9A" w14:textId="77777777" w:rsidR="00DB2DCB" w:rsidRDefault="00DB2DCB" w:rsidP="00715389">
      <w:pPr>
        <w:pStyle w:val="PargrafodaLista"/>
        <w:numPr>
          <w:ilvl w:val="0"/>
          <w:numId w:val="7"/>
        </w:numPr>
        <w:spacing w:before="120" w:after="120"/>
        <w:contextualSpacing w:val="0"/>
      </w:pPr>
      <w:r>
        <w:rPr>
          <w:rFonts w:asciiTheme="minorHAnsi" w:hAnsiTheme="minorHAnsi"/>
          <w:sz w:val="22"/>
          <w:szCs w:val="22"/>
        </w:rPr>
        <w:t>Desenvolvimento de estruturas financeiras para reestruturação do passivo do Município.</w:t>
      </w:r>
    </w:p>
    <w:p w14:paraId="1AE4F1EB" w14:textId="77777777" w:rsidR="00DB2DCB" w:rsidRDefault="00DB2DCB" w:rsidP="00715389">
      <w:pPr>
        <w:pStyle w:val="PargrafodaLista"/>
        <w:numPr>
          <w:ilvl w:val="0"/>
          <w:numId w:val="7"/>
        </w:numPr>
        <w:spacing w:before="120" w:after="120"/>
        <w:contextualSpacing w:val="0"/>
      </w:pPr>
      <w:r>
        <w:rPr>
          <w:rFonts w:asciiTheme="minorHAnsi" w:hAnsiTheme="minorHAnsi"/>
          <w:sz w:val="22"/>
          <w:szCs w:val="22"/>
        </w:rPr>
        <w:lastRenderedPageBreak/>
        <w:t xml:space="preserve">Prestação de garantias reais ou fidejussórias nos projetos de </w:t>
      </w:r>
      <w:proofErr w:type="spellStart"/>
      <w:r>
        <w:rPr>
          <w:rFonts w:asciiTheme="minorHAnsi" w:hAnsiTheme="minorHAnsi"/>
          <w:sz w:val="22"/>
          <w:szCs w:val="22"/>
        </w:rPr>
        <w:t>PPPs</w:t>
      </w:r>
      <w:proofErr w:type="spellEnd"/>
      <w:r>
        <w:rPr>
          <w:rFonts w:asciiTheme="minorHAnsi" w:hAnsiTheme="minorHAnsi"/>
          <w:sz w:val="22"/>
          <w:szCs w:val="22"/>
        </w:rPr>
        <w:t xml:space="preserve"> municipais.</w:t>
      </w:r>
    </w:p>
    <w:p w14:paraId="5C217838" w14:textId="77777777" w:rsidR="00DB2DCB" w:rsidRDefault="00DB2DCB" w:rsidP="00715389">
      <w:pPr>
        <w:pStyle w:val="PargrafodaLista"/>
        <w:numPr>
          <w:ilvl w:val="0"/>
          <w:numId w:val="7"/>
        </w:numPr>
        <w:spacing w:before="120" w:after="120"/>
        <w:contextualSpacing w:val="0"/>
      </w:pPr>
      <w:r>
        <w:rPr>
          <w:rFonts w:asciiTheme="minorHAnsi" w:hAnsiTheme="minorHAnsi"/>
          <w:sz w:val="22"/>
          <w:szCs w:val="22"/>
        </w:rPr>
        <w:t>Prestação de serviços de consultoria e assessoria técnica especializada.</w:t>
      </w:r>
    </w:p>
    <w:p w14:paraId="0B0DF0DC" w14:textId="77777777" w:rsidR="00975FB6" w:rsidRDefault="00975FB6" w:rsidP="00715389">
      <w:pPr>
        <w:pStyle w:val="PargrafodaLista"/>
        <w:numPr>
          <w:ilvl w:val="0"/>
          <w:numId w:val="7"/>
        </w:numPr>
        <w:spacing w:before="120" w:after="120"/>
        <w:contextualSpacing w:val="0"/>
      </w:pPr>
      <w:r>
        <w:rPr>
          <w:rFonts w:asciiTheme="minorHAnsi" w:hAnsiTheme="minorHAnsi"/>
          <w:sz w:val="22"/>
          <w:szCs w:val="22"/>
        </w:rPr>
        <w:t>Alcançar o equilíbrio econômico financeiro.</w:t>
      </w:r>
    </w:p>
    <w:p w14:paraId="30DDECB5" w14:textId="77777777" w:rsidR="00E5462F" w:rsidRDefault="00975FB6" w:rsidP="00715389">
      <w:pPr>
        <w:spacing w:before="120" w:after="120"/>
        <w:jc w:val="both"/>
      </w:pPr>
      <w:r w:rsidRPr="00715389">
        <w:rPr>
          <w:u w:val="single"/>
        </w:rPr>
        <w:t>Valores</w:t>
      </w:r>
      <w:r>
        <w:t>: Constituem valores da Companhia aqueles preconizados em princípios jurídicos, tais como moralidade e igualdade. Também cabe à SPDA agir com transparência, ética, integridade, responsabilidade e respeito, c</w:t>
      </w:r>
      <w:r w:rsidR="00E629AD">
        <w:t xml:space="preserve">riando </w:t>
      </w:r>
      <w:r>
        <w:t>um ambiente saudável, empreendedor, motivador e colaborativo.</w:t>
      </w:r>
    </w:p>
    <w:p w14:paraId="4CCEABDA" w14:textId="77777777" w:rsidR="00E5462F" w:rsidRDefault="00975FB6" w:rsidP="00715389">
      <w:pPr>
        <w:spacing w:before="120" w:after="120"/>
        <w:rPr>
          <w:b/>
        </w:rPr>
      </w:pPr>
      <w:r w:rsidRPr="00715389">
        <w:rPr>
          <w:b/>
        </w:rPr>
        <w:t xml:space="preserve">VIII </w:t>
      </w:r>
      <w:r>
        <w:rPr>
          <w:b/>
        </w:rPr>
        <w:t>–</w:t>
      </w:r>
      <w:r w:rsidRPr="00715389">
        <w:rPr>
          <w:b/>
        </w:rPr>
        <w:t xml:space="preserve"> DESEMPENHO</w:t>
      </w:r>
    </w:p>
    <w:p w14:paraId="2FA3AAB4" w14:textId="77777777" w:rsidR="00975FB6" w:rsidRDefault="00975FB6" w:rsidP="00715389">
      <w:pPr>
        <w:spacing w:before="120" w:after="120"/>
        <w:jc w:val="both"/>
      </w:pPr>
      <w:r>
        <w:t xml:space="preserve">As metas de desempenho institucional da Companhia são acompanhadas periodicamente pelo Departamento de Capitais e Haveres ligado à Secretaria da Fazenda do Município de São Paulo. O Compromisso de Desempenho Institucional </w:t>
      </w:r>
      <w:r w:rsidR="00B9019F">
        <w:t xml:space="preserve">referente ao biênio 2019/2020 </w:t>
      </w:r>
      <w:r>
        <w:t>segue anexo à Carta Anua</w:t>
      </w:r>
      <w:r w:rsidR="00E629AD">
        <w:t>l</w:t>
      </w:r>
      <w:r>
        <w:t xml:space="preserve"> de Políticas Públicas e Governança Corporativa.</w:t>
      </w:r>
    </w:p>
    <w:p w14:paraId="34D8936F" w14:textId="77777777" w:rsidR="00975FB6" w:rsidRDefault="00975FB6" w:rsidP="00715389">
      <w:pPr>
        <w:spacing w:before="120" w:after="120"/>
        <w:jc w:val="both"/>
        <w:rPr>
          <w:b/>
        </w:rPr>
      </w:pPr>
      <w:r w:rsidRPr="00715389">
        <w:rPr>
          <w:b/>
        </w:rPr>
        <w:t xml:space="preserve">XI </w:t>
      </w:r>
      <w:r>
        <w:rPr>
          <w:b/>
        </w:rPr>
        <w:t>–</w:t>
      </w:r>
      <w:r w:rsidRPr="00715389">
        <w:rPr>
          <w:b/>
        </w:rPr>
        <w:t xml:space="preserve"> PERSPECTIVAS</w:t>
      </w:r>
    </w:p>
    <w:p w14:paraId="739CCD35" w14:textId="77777777" w:rsidR="00BE7AF7" w:rsidRPr="00413BC6" w:rsidRDefault="00BE7AF7" w:rsidP="00715389">
      <w:pPr>
        <w:pStyle w:val="PargrafodaLista"/>
        <w:numPr>
          <w:ilvl w:val="0"/>
          <w:numId w:val="8"/>
        </w:numPr>
        <w:spacing w:before="120" w:after="120"/>
        <w:contextualSpacing w:val="0"/>
      </w:pPr>
      <w:r w:rsidRPr="00715389">
        <w:rPr>
          <w:rFonts w:asciiTheme="minorHAnsi" w:hAnsiTheme="minorHAnsi"/>
          <w:sz w:val="22"/>
          <w:szCs w:val="22"/>
        </w:rPr>
        <w:t>Exploração de determinados ativos da PMSP, seja por meio da securitização de fluxos financeiros da entidade, seja por meio do auxílio à venda e a monetização de outros ativos</w:t>
      </w:r>
      <w:r>
        <w:rPr>
          <w:rFonts w:asciiTheme="minorHAnsi" w:hAnsiTheme="minorHAnsi"/>
          <w:sz w:val="22"/>
          <w:szCs w:val="22"/>
        </w:rPr>
        <w:t>;</w:t>
      </w:r>
    </w:p>
    <w:p w14:paraId="617959D2" w14:textId="77777777" w:rsidR="00975FB6" w:rsidRPr="00413BC6" w:rsidRDefault="00C07910" w:rsidP="00715389">
      <w:pPr>
        <w:pStyle w:val="PargrafodaLista"/>
        <w:numPr>
          <w:ilvl w:val="0"/>
          <w:numId w:val="8"/>
        </w:numPr>
        <w:spacing w:before="120" w:after="120"/>
        <w:contextualSpacing w:val="0"/>
      </w:pPr>
      <w:r w:rsidRPr="00715389">
        <w:rPr>
          <w:rFonts w:asciiTheme="minorHAnsi" w:hAnsiTheme="minorHAnsi"/>
          <w:sz w:val="22"/>
          <w:szCs w:val="22"/>
        </w:rPr>
        <w:t>Manter eficiência no desenvolvimento das operações que buscam otimizar recursos para o Município, por meio de soluções de mercado para mobilização de ativos;</w:t>
      </w:r>
    </w:p>
    <w:p w14:paraId="0777B8F7" w14:textId="77777777" w:rsidR="00C07910" w:rsidRPr="00413BC6" w:rsidRDefault="00C07910" w:rsidP="00715389">
      <w:pPr>
        <w:pStyle w:val="PargrafodaLista"/>
        <w:numPr>
          <w:ilvl w:val="0"/>
          <w:numId w:val="8"/>
        </w:numPr>
        <w:spacing w:before="120" w:after="120"/>
        <w:contextualSpacing w:val="0"/>
      </w:pPr>
      <w:r w:rsidRPr="00715389">
        <w:rPr>
          <w:rFonts w:asciiTheme="minorHAnsi" w:hAnsiTheme="minorHAnsi"/>
          <w:sz w:val="22"/>
          <w:szCs w:val="22"/>
        </w:rPr>
        <w:t>Obter recursos para manutenção de seu equilíbrio econômico financeiro;</w:t>
      </w:r>
    </w:p>
    <w:p w14:paraId="16FF8FE2" w14:textId="77777777" w:rsidR="00C07910" w:rsidRPr="00413BC6" w:rsidRDefault="00C07910" w:rsidP="00715389">
      <w:pPr>
        <w:pStyle w:val="PargrafodaLista"/>
        <w:numPr>
          <w:ilvl w:val="0"/>
          <w:numId w:val="8"/>
        </w:numPr>
        <w:spacing w:before="120" w:after="120"/>
        <w:contextualSpacing w:val="0"/>
      </w:pPr>
      <w:r w:rsidRPr="00715389">
        <w:rPr>
          <w:rFonts w:asciiTheme="minorHAnsi" w:hAnsiTheme="minorHAnsi"/>
          <w:sz w:val="22"/>
          <w:szCs w:val="22"/>
        </w:rPr>
        <w:t>Atender pontualmente as diretrizes dos contratos de consultoria firmados com a Secretaria da Fazenda do Município de São Paulo;</w:t>
      </w:r>
    </w:p>
    <w:p w14:paraId="653F94C3" w14:textId="77777777" w:rsidR="00C07910" w:rsidRPr="00413BC6" w:rsidRDefault="00C07910" w:rsidP="00715389">
      <w:pPr>
        <w:pStyle w:val="PargrafodaLista"/>
        <w:numPr>
          <w:ilvl w:val="0"/>
          <w:numId w:val="8"/>
        </w:numPr>
        <w:spacing w:before="120" w:after="120"/>
        <w:contextualSpacing w:val="0"/>
      </w:pPr>
      <w:r w:rsidRPr="00715389">
        <w:rPr>
          <w:rFonts w:asciiTheme="minorHAnsi" w:hAnsiTheme="minorHAnsi"/>
          <w:sz w:val="22"/>
          <w:szCs w:val="22"/>
        </w:rPr>
        <w:t xml:space="preserve">Garantir </w:t>
      </w:r>
      <w:r w:rsidR="00BE7AF7" w:rsidRPr="00715389">
        <w:rPr>
          <w:rFonts w:asciiTheme="minorHAnsi" w:hAnsiTheme="minorHAnsi"/>
          <w:sz w:val="22"/>
          <w:szCs w:val="22"/>
        </w:rPr>
        <w:t>contraprestações públicas</w:t>
      </w:r>
      <w:r w:rsidRPr="00715389">
        <w:rPr>
          <w:rFonts w:asciiTheme="minorHAnsi" w:hAnsiTheme="minorHAnsi"/>
          <w:sz w:val="22"/>
          <w:szCs w:val="22"/>
        </w:rPr>
        <w:t xml:space="preserve"> em Parcerias Público-Privadas;</w:t>
      </w:r>
    </w:p>
    <w:p w14:paraId="533AD781" w14:textId="77777777" w:rsidR="00C07910" w:rsidRPr="00715389" w:rsidRDefault="00C07910" w:rsidP="00715389">
      <w:pPr>
        <w:pStyle w:val="PargrafodaLista"/>
        <w:numPr>
          <w:ilvl w:val="0"/>
          <w:numId w:val="8"/>
        </w:numPr>
        <w:spacing w:before="120" w:after="120"/>
        <w:contextualSpacing w:val="0"/>
        <w:rPr>
          <w:sz w:val="22"/>
          <w:szCs w:val="22"/>
        </w:rPr>
      </w:pPr>
      <w:r w:rsidRPr="00715389">
        <w:rPr>
          <w:rFonts w:asciiTheme="minorHAnsi" w:hAnsiTheme="minorHAnsi"/>
          <w:sz w:val="22"/>
          <w:szCs w:val="22"/>
        </w:rPr>
        <w:t>Ser uma empresa referenciada pela excelência na estruturação de operações financeiras que envolvam a emissão e distribuição de valores mobiliários.</w:t>
      </w:r>
    </w:p>
    <w:sectPr w:rsidR="00C07910" w:rsidRPr="00715389" w:rsidSect="009E72C5">
      <w:headerReference w:type="default" r:id="rId10"/>
      <w:footerReference w:type="default" r:id="rId11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283C7" w14:textId="77777777" w:rsidR="00A602C1" w:rsidRDefault="00A602C1" w:rsidP="00DE34D3">
      <w:pPr>
        <w:spacing w:after="0" w:line="240" w:lineRule="auto"/>
      </w:pPr>
      <w:r>
        <w:separator/>
      </w:r>
    </w:p>
  </w:endnote>
  <w:endnote w:type="continuationSeparator" w:id="0">
    <w:p w14:paraId="1910CFEA" w14:textId="77777777" w:rsidR="00A602C1" w:rsidRDefault="00A602C1" w:rsidP="00DE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5735089"/>
      <w:docPartObj>
        <w:docPartGallery w:val="Page Numbers (Bottom of Page)"/>
        <w:docPartUnique/>
      </w:docPartObj>
    </w:sdtPr>
    <w:sdtEndPr/>
    <w:sdtContent>
      <w:p w14:paraId="7471222D" w14:textId="77777777" w:rsidR="009E72C5" w:rsidRDefault="009E72C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448">
          <w:rPr>
            <w:noProof/>
          </w:rPr>
          <w:t>2</w:t>
        </w:r>
        <w:r>
          <w:fldChar w:fldCharType="end"/>
        </w:r>
      </w:p>
    </w:sdtContent>
  </w:sdt>
  <w:p w14:paraId="3338FC01" w14:textId="1299A4A5" w:rsidR="009E72C5" w:rsidRPr="009E72C5" w:rsidRDefault="009E72C5" w:rsidP="009E72C5">
    <w:pPr>
      <w:pStyle w:val="Rodap"/>
      <w:rPr>
        <w:rFonts w:ascii="Arial" w:hAnsi="Arial" w:cs="Arial"/>
        <w:sz w:val="14"/>
        <w:szCs w:val="14"/>
      </w:rPr>
    </w:pPr>
    <w:r w:rsidRPr="009E72C5">
      <w:rPr>
        <w:rFonts w:ascii="Arial" w:hAnsi="Arial" w:cs="Arial"/>
        <w:sz w:val="14"/>
        <w:szCs w:val="14"/>
      </w:rPr>
      <w:t>Relatório de Sustentabilidade. Aprovado em 22/05/2018</w:t>
    </w:r>
    <w:r w:rsidR="00E66B77">
      <w:rPr>
        <w:rFonts w:ascii="Arial" w:hAnsi="Arial" w:cs="Arial"/>
        <w:sz w:val="14"/>
        <w:szCs w:val="14"/>
      </w:rPr>
      <w:t xml:space="preserve">. Revisado e atualizado em </w:t>
    </w:r>
    <w:r w:rsidR="00842F9D">
      <w:rPr>
        <w:rFonts w:ascii="Arial" w:hAnsi="Arial" w:cs="Arial"/>
        <w:sz w:val="14"/>
        <w:szCs w:val="14"/>
      </w:rPr>
      <w:t>23/</w:t>
    </w:r>
    <w:r w:rsidR="00E66B77">
      <w:rPr>
        <w:rFonts w:ascii="Arial" w:hAnsi="Arial" w:cs="Arial"/>
        <w:sz w:val="14"/>
        <w:szCs w:val="14"/>
      </w:rPr>
      <w:t>0</w:t>
    </w:r>
    <w:r w:rsidR="00894584">
      <w:rPr>
        <w:rFonts w:ascii="Arial" w:hAnsi="Arial" w:cs="Arial"/>
        <w:sz w:val="14"/>
        <w:szCs w:val="14"/>
      </w:rPr>
      <w:t>4</w:t>
    </w:r>
    <w:r w:rsidR="00E66B77">
      <w:rPr>
        <w:rFonts w:ascii="Arial" w:hAnsi="Arial" w:cs="Arial"/>
        <w:sz w:val="14"/>
        <w:szCs w:val="14"/>
      </w:rPr>
      <w:t>/20</w:t>
    </w:r>
    <w:r w:rsidR="00894584">
      <w:rPr>
        <w:rFonts w:ascii="Arial" w:hAnsi="Arial" w:cs="Arial"/>
        <w:sz w:val="14"/>
        <w:szCs w:val="14"/>
      </w:rPr>
      <w:t>20</w:t>
    </w:r>
    <w:r w:rsidR="00E66B77">
      <w:rPr>
        <w:rFonts w:ascii="Arial" w:hAnsi="Arial" w:cs="Arial"/>
        <w:sz w:val="14"/>
        <w:szCs w:val="14"/>
      </w:rPr>
      <w:t>.</w:t>
    </w:r>
  </w:p>
  <w:p w14:paraId="2C287C52" w14:textId="77777777" w:rsidR="009E72C5" w:rsidRPr="009E72C5" w:rsidRDefault="009E72C5" w:rsidP="009E72C5">
    <w:pPr>
      <w:pStyle w:val="Rodap"/>
      <w:rPr>
        <w:rFonts w:ascii="Arial" w:hAnsi="Arial" w:cs="Arial"/>
      </w:rPr>
    </w:pPr>
  </w:p>
  <w:p w14:paraId="283613FB" w14:textId="77777777" w:rsidR="00A027D1" w:rsidRPr="009E72C5" w:rsidRDefault="00A027D1">
    <w:pPr>
      <w:pStyle w:val="Rodap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83BEE" w14:textId="77777777" w:rsidR="00A602C1" w:rsidRDefault="00A602C1" w:rsidP="00DE34D3">
      <w:pPr>
        <w:spacing w:after="0" w:line="240" w:lineRule="auto"/>
      </w:pPr>
      <w:r>
        <w:separator/>
      </w:r>
    </w:p>
  </w:footnote>
  <w:footnote w:type="continuationSeparator" w:id="0">
    <w:p w14:paraId="47FC3A09" w14:textId="77777777" w:rsidR="00A602C1" w:rsidRDefault="00A602C1" w:rsidP="00DE34D3">
      <w:pPr>
        <w:spacing w:after="0" w:line="240" w:lineRule="auto"/>
      </w:pPr>
      <w:r>
        <w:continuationSeparator/>
      </w:r>
    </w:p>
  </w:footnote>
  <w:footnote w:id="1">
    <w:p w14:paraId="4787D894" w14:textId="77777777" w:rsidR="000E148B" w:rsidRDefault="000E148B" w:rsidP="005A4448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Tal FIDC-NP, como consta no Compromisso de Desempenho Institucional da Companhia, foi constituído como veículo para incrementar a eficiência da gestão da carteira de créditos habitacionais oriunda de financiamentos da COHAB-SP. A estrutura foi pensada para que o gestor do FIDC seja remunerado conforme a performance a atenda requisitos de qualidade técnica. Outrossim, a estrutura aventada permite a segregação do ativo em questão, possibilitando sua utilização para garantias de dívidas do município e projetos de parcerias público-privadas.</w:t>
      </w:r>
    </w:p>
  </w:footnote>
  <w:footnote w:id="2">
    <w:p w14:paraId="418C917A" w14:textId="77777777" w:rsidR="00DF2CB9" w:rsidRDefault="00DF2CB9">
      <w:pPr>
        <w:pStyle w:val="Textodenotaderodap"/>
      </w:pPr>
      <w:r>
        <w:rPr>
          <w:rStyle w:val="Refdenotaderodap"/>
        </w:rPr>
        <w:footnoteRef/>
      </w:r>
      <w:r>
        <w:t xml:space="preserve"> O CDI relativo ao biênio 2019/2020 está sendo revisto para atender as mudanças na legislação pertinente.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DFF94" w14:textId="77777777" w:rsidR="00A027D1" w:rsidRDefault="00A027D1" w:rsidP="00A027D1">
    <w:pPr>
      <w:pStyle w:val="Cabealho"/>
      <w:jc w:val="center"/>
    </w:pPr>
    <w:r>
      <w:rPr>
        <w:rFonts w:ascii="Arial Narrow" w:hAnsi="Arial Narrow"/>
        <w:b/>
        <w:noProof/>
        <w:lang w:eastAsia="pt-BR"/>
      </w:rPr>
      <w:drawing>
        <wp:inline distT="0" distB="0" distL="0" distR="0" wp14:anchorId="012556EE" wp14:editId="108488FC">
          <wp:extent cx="1781175" cy="704850"/>
          <wp:effectExtent l="0" t="0" r="9525" b="0"/>
          <wp:docPr id="1" name="Imagem 1" descr="SPDA - positivo horizontal j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DA - positivo horizontal j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929C5E" w14:textId="77777777" w:rsidR="00A027D1" w:rsidRDefault="00A027D1" w:rsidP="00A027D1">
    <w:pPr>
      <w:pStyle w:val="Cabealho"/>
      <w:jc w:val="center"/>
    </w:pPr>
  </w:p>
  <w:p w14:paraId="7285A68D" w14:textId="77777777" w:rsidR="00A027D1" w:rsidRDefault="00A027D1" w:rsidP="00A027D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E7BDE"/>
    <w:multiLevelType w:val="hybridMultilevel"/>
    <w:tmpl w:val="A33A9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83ECB"/>
    <w:multiLevelType w:val="hybridMultilevel"/>
    <w:tmpl w:val="DF8EEB3C"/>
    <w:lvl w:ilvl="0" w:tplc="1574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D0978"/>
    <w:multiLevelType w:val="hybridMultilevel"/>
    <w:tmpl w:val="0012E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B21DB"/>
    <w:multiLevelType w:val="hybridMultilevel"/>
    <w:tmpl w:val="213C46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C2B47"/>
    <w:multiLevelType w:val="multilevel"/>
    <w:tmpl w:val="2B40A3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5" w15:restartNumberingAfterBreak="0">
    <w:nsid w:val="3E4C3D5C"/>
    <w:multiLevelType w:val="hybridMultilevel"/>
    <w:tmpl w:val="7A5A36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9097E"/>
    <w:multiLevelType w:val="hybridMultilevel"/>
    <w:tmpl w:val="7DE63D74"/>
    <w:lvl w:ilvl="0" w:tplc="14102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24085"/>
    <w:multiLevelType w:val="hybridMultilevel"/>
    <w:tmpl w:val="E752EC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BF4"/>
    <w:rsid w:val="00016BF4"/>
    <w:rsid w:val="0002310E"/>
    <w:rsid w:val="000371F1"/>
    <w:rsid w:val="00051BCE"/>
    <w:rsid w:val="00065243"/>
    <w:rsid w:val="000715D3"/>
    <w:rsid w:val="00076A00"/>
    <w:rsid w:val="00083DF7"/>
    <w:rsid w:val="00094D0B"/>
    <w:rsid w:val="000B39EF"/>
    <w:rsid w:val="000C041D"/>
    <w:rsid w:val="000D37D0"/>
    <w:rsid w:val="000E10CE"/>
    <w:rsid w:val="000E148B"/>
    <w:rsid w:val="000F1818"/>
    <w:rsid w:val="000F6BC2"/>
    <w:rsid w:val="001237A4"/>
    <w:rsid w:val="001412AF"/>
    <w:rsid w:val="00151A34"/>
    <w:rsid w:val="00176D56"/>
    <w:rsid w:val="00184353"/>
    <w:rsid w:val="001A0DFE"/>
    <w:rsid w:val="001A6F1C"/>
    <w:rsid w:val="001C66C6"/>
    <w:rsid w:val="001F55C7"/>
    <w:rsid w:val="0022540A"/>
    <w:rsid w:val="002A6994"/>
    <w:rsid w:val="002D218B"/>
    <w:rsid w:val="002D7790"/>
    <w:rsid w:val="002E11F1"/>
    <w:rsid w:val="003235C1"/>
    <w:rsid w:val="00335009"/>
    <w:rsid w:val="00364408"/>
    <w:rsid w:val="003912A2"/>
    <w:rsid w:val="003C2996"/>
    <w:rsid w:val="003C2A3D"/>
    <w:rsid w:val="003C5747"/>
    <w:rsid w:val="003E0D17"/>
    <w:rsid w:val="003F1A35"/>
    <w:rsid w:val="00400D65"/>
    <w:rsid w:val="00413BC6"/>
    <w:rsid w:val="004323B8"/>
    <w:rsid w:val="00437A8D"/>
    <w:rsid w:val="00442A17"/>
    <w:rsid w:val="00445E31"/>
    <w:rsid w:val="00464E0D"/>
    <w:rsid w:val="004D1704"/>
    <w:rsid w:val="004D5357"/>
    <w:rsid w:val="004D5867"/>
    <w:rsid w:val="00533F22"/>
    <w:rsid w:val="005539DA"/>
    <w:rsid w:val="005833D4"/>
    <w:rsid w:val="005A4448"/>
    <w:rsid w:val="005B1B0E"/>
    <w:rsid w:val="005D269E"/>
    <w:rsid w:val="005F21EC"/>
    <w:rsid w:val="005F7304"/>
    <w:rsid w:val="00616EBB"/>
    <w:rsid w:val="006233E1"/>
    <w:rsid w:val="006409E8"/>
    <w:rsid w:val="006D7878"/>
    <w:rsid w:val="0070296C"/>
    <w:rsid w:val="00704E48"/>
    <w:rsid w:val="00715389"/>
    <w:rsid w:val="007175FD"/>
    <w:rsid w:val="007500F5"/>
    <w:rsid w:val="00753745"/>
    <w:rsid w:val="0078058E"/>
    <w:rsid w:val="007C7EDD"/>
    <w:rsid w:val="007E31D4"/>
    <w:rsid w:val="00813E66"/>
    <w:rsid w:val="00842F9D"/>
    <w:rsid w:val="008716B4"/>
    <w:rsid w:val="00894584"/>
    <w:rsid w:val="008C6D70"/>
    <w:rsid w:val="008E36E6"/>
    <w:rsid w:val="00912FD3"/>
    <w:rsid w:val="0094596D"/>
    <w:rsid w:val="00975FB6"/>
    <w:rsid w:val="009D3E88"/>
    <w:rsid w:val="009E4D83"/>
    <w:rsid w:val="009E72C5"/>
    <w:rsid w:val="00A027D1"/>
    <w:rsid w:val="00A07593"/>
    <w:rsid w:val="00A336F9"/>
    <w:rsid w:val="00A359CE"/>
    <w:rsid w:val="00A602C1"/>
    <w:rsid w:val="00A6309B"/>
    <w:rsid w:val="00AC6434"/>
    <w:rsid w:val="00AD4A6B"/>
    <w:rsid w:val="00AD5989"/>
    <w:rsid w:val="00AE37C0"/>
    <w:rsid w:val="00B53EFE"/>
    <w:rsid w:val="00B779F6"/>
    <w:rsid w:val="00B87A78"/>
    <w:rsid w:val="00B9019F"/>
    <w:rsid w:val="00BE7AF7"/>
    <w:rsid w:val="00C01F41"/>
    <w:rsid w:val="00C07910"/>
    <w:rsid w:val="00C52A5D"/>
    <w:rsid w:val="00C724A3"/>
    <w:rsid w:val="00CD1853"/>
    <w:rsid w:val="00CD5C22"/>
    <w:rsid w:val="00CE34E8"/>
    <w:rsid w:val="00CE6C13"/>
    <w:rsid w:val="00CF044E"/>
    <w:rsid w:val="00CF329B"/>
    <w:rsid w:val="00CF39E9"/>
    <w:rsid w:val="00D05BE0"/>
    <w:rsid w:val="00D06018"/>
    <w:rsid w:val="00D32894"/>
    <w:rsid w:val="00D57681"/>
    <w:rsid w:val="00D95A8D"/>
    <w:rsid w:val="00D96FF8"/>
    <w:rsid w:val="00DB2DCB"/>
    <w:rsid w:val="00DE34D3"/>
    <w:rsid w:val="00DF2CB9"/>
    <w:rsid w:val="00DF2E96"/>
    <w:rsid w:val="00E131C8"/>
    <w:rsid w:val="00E150D4"/>
    <w:rsid w:val="00E21962"/>
    <w:rsid w:val="00E22D97"/>
    <w:rsid w:val="00E23828"/>
    <w:rsid w:val="00E27C48"/>
    <w:rsid w:val="00E44A80"/>
    <w:rsid w:val="00E5462F"/>
    <w:rsid w:val="00E629AD"/>
    <w:rsid w:val="00E66B77"/>
    <w:rsid w:val="00E90337"/>
    <w:rsid w:val="00EA7CF4"/>
    <w:rsid w:val="00EB3D52"/>
    <w:rsid w:val="00EC79BA"/>
    <w:rsid w:val="00ED51C3"/>
    <w:rsid w:val="00ED569D"/>
    <w:rsid w:val="00EF340F"/>
    <w:rsid w:val="00F00336"/>
    <w:rsid w:val="00F16C06"/>
    <w:rsid w:val="00F24CAA"/>
    <w:rsid w:val="00F468F0"/>
    <w:rsid w:val="00F5577A"/>
    <w:rsid w:val="00F7090E"/>
    <w:rsid w:val="00F96084"/>
    <w:rsid w:val="00FE02C2"/>
    <w:rsid w:val="00FF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DD3550A"/>
  <w15:docId w15:val="{EE56F657-FED8-410B-B7B8-70EE90E5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aliases w:val="Agmt Article Number,h1"/>
    <w:basedOn w:val="Normal"/>
    <w:next w:val="Normal"/>
    <w:link w:val="Ttulo1Char"/>
    <w:qFormat/>
    <w:rsid w:val="00445E31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16BF4"/>
    <w:pPr>
      <w:spacing w:after="0" w:line="320" w:lineRule="atLeast"/>
      <w:ind w:left="720"/>
      <w:contextualSpacing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aliases w:val="Agmt Article Number Char,h1 Char"/>
    <w:basedOn w:val="Fontepargpadro"/>
    <w:link w:val="Ttulo1"/>
    <w:rsid w:val="00445E3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EDP-TEXTONORMAL">
    <w:name w:val="EDP - TEXTO NORMAL"/>
    <w:basedOn w:val="Normal"/>
    <w:qFormat/>
    <w:rsid w:val="00445E31"/>
    <w:pPr>
      <w:widowControl w:val="0"/>
      <w:suppressAutoHyphens/>
      <w:spacing w:after="200" w:line="240" w:lineRule="auto"/>
      <w:jc w:val="both"/>
    </w:pPr>
    <w:rPr>
      <w:rFonts w:ascii="Tahoma" w:eastAsia="MS Mincho" w:hAnsi="Tahoma" w:cs="Tahoma"/>
      <w:sz w:val="20"/>
      <w:szCs w:val="20"/>
      <w:lang w:eastAsia="ar-SA"/>
    </w:rPr>
  </w:style>
  <w:style w:type="paragraph" w:customStyle="1" w:styleId="Default">
    <w:name w:val="Default"/>
    <w:rsid w:val="00D05B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CF0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E34D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E34D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E34D3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CD1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853"/>
  </w:style>
  <w:style w:type="paragraph" w:styleId="Rodap">
    <w:name w:val="footer"/>
    <w:basedOn w:val="Normal"/>
    <w:link w:val="RodapChar"/>
    <w:uiPriority w:val="99"/>
    <w:unhideWhenUsed/>
    <w:rsid w:val="00A027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7D1"/>
  </w:style>
  <w:style w:type="paragraph" w:styleId="Textodebalo">
    <w:name w:val="Balloon Text"/>
    <w:basedOn w:val="Normal"/>
    <w:link w:val="TextodebaloChar"/>
    <w:uiPriority w:val="99"/>
    <w:semiHidden/>
    <w:unhideWhenUsed/>
    <w:rsid w:val="00C01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4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1A2C2-C0ED-4A3B-AC66-8227ACAE4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2147</Words>
  <Characters>11599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SMF - Secretaria de Finanças</Company>
  <LinksUpToDate>false</LinksUpToDate>
  <CharactersWithSpaces>13719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de Sa Nascimento</dc:creator>
  <cp:lastModifiedBy>Patricia Meneghini da Silva</cp:lastModifiedBy>
  <cp:revision>7</cp:revision>
  <dcterms:created xsi:type="dcterms:W3CDTF">2020-04-17T23:45:00Z</dcterms:created>
  <dcterms:modified xsi:type="dcterms:W3CDTF">2020-10-06T17:48:00Z</dcterms:modified>
</cp:coreProperties>
</file>